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Liberation Sans" w:hAnsi="Liberation Sans"/>
          <w:b/>
          <w:color w:val="17365D"/>
          <w:sz w:val="54"/>
        </w:rPr>
        <w:t>BUGORSKI-LIKE HIGH-ENERGY PARTICLE EXPOSURE</w:t>
      </w:r>
    </w:p>
    <w:p>
      <w:pPr>
        <w:jc w:val="center"/>
      </w:pPr>
      <w:r>
        <w:rPr>
          <w:rFonts w:ascii="Liberation Sans" w:hAnsi="Liberation Sans"/>
          <w:b w:val="0"/>
          <w:color w:val="1F6D7A"/>
          <w:sz w:val="28"/>
        </w:rPr>
        <w:t>Tissue preservation, microvolume injury, spatial rescue and the search for the real mechanism</w:t>
      </w:r>
    </w:p>
    <w:p>
      <w:pPr>
        <w:spacing w:before="400"/>
        <w:jc w:val="center"/>
      </w:pPr>
      <w:r>
        <w:rPr>
          <w:rFonts w:ascii="Liberation Sans" w:hAnsi="Liberation Sans"/>
          <w:b/>
          <w:color w:val="2F5597"/>
          <w:sz w:val="22"/>
        </w:rPr>
        <w:t>SCIENCE AI / ChatGPT research synthesis</w:t>
      </w:r>
    </w:p>
    <w:p>
      <w:pPr>
        <w:jc w:val="center"/>
      </w:pPr>
      <w:r>
        <w:rPr>
          <w:rFonts w:ascii="Liberation Sans" w:hAnsi="Liberation Sans"/>
          <w:color w:val="5B6573"/>
          <w:sz w:val="20"/>
        </w:rPr>
        <w:t>Prepared for Adrian Gheorghe</w:t>
      </w:r>
    </w:p>
    <w:p>
      <w:pPr>
        <w:spacing w:before="320"/>
        <w:jc w:val="center"/>
      </w:pPr>
      <w:r>
        <w:rPr>
          <w:rFonts w:ascii="Liberation Sans" w:hAnsi="Liberation Sans"/>
          <w:b/>
          <w:color w:val="B58B00"/>
          <w:sz w:val="19"/>
        </w:rPr>
        <w:t>Evidence synthesis + in-silico hypothesis program | No human exposure protocol</w:t>
      </w:r>
    </w:p>
    <w:p>
      <w:pPr>
        <w:spacing w:before="2200"/>
        <w:jc w:val="center"/>
      </w:pPr>
      <w:r>
        <w:rPr>
          <w:rFonts w:ascii="Liberation Sans" w:hAnsi="Liberation Sans"/>
          <w:color w:val="5B6573"/>
          <w:sz w:val="18"/>
        </w:rPr>
        <w:t>Version date: 1 October 2026</w:t>
      </w:r>
    </w:p>
    <w:p>
      <w:r>
        <w:br w:type="page"/>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2E7D32"/>
                <w:sz w:val="19"/>
              </w:rPr>
              <w:t xml:space="preserve">Scientific status — </w:t>
            </w:r>
            <w:r>
              <w:rPr>
                <w:rFonts w:ascii="Liberation Sans" w:hAnsi="Liberation Sans"/>
                <w:color w:val="1C2430"/>
                <w:sz w:val="19"/>
              </w:rPr>
              <w:t>The original “magnetic-wave + nerve-current” mechanism is not supported. The strongest surviving research direction is spatially confined injury with viable neighboring tissue, preserved microvasculature and repair. No evidence demonstrates biological immortality or a unique preservation dose.</w:t>
            </w:r>
          </w:p>
        </w:tc>
      </w:tr>
    </w:tbl>
    <w:p>
      <w:pPr>
        <w:spacing w:after="0"/>
      </w:pP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B3261E"/>
                <w:sz w:val="19"/>
              </w:rPr>
              <w:t xml:space="preserve">Safety boundary — </w:t>
            </w:r>
            <w:r>
              <w:rPr>
                <w:rFonts w:ascii="Liberation Sans" w:hAnsi="Liberation Sans"/>
                <w:color w:val="1C2430"/>
                <w:sz w:val="19"/>
              </w:rPr>
              <w:t>This dossier analyzes published cell/animal data and historical evidence. It intentionally does not specify a human irradiation setting, self-experiment protocol, accelerator operating instructions, or a purported “safe preservation dose.”</w:t>
            </w:r>
          </w:p>
        </w:tc>
      </w:tr>
    </w:tbl>
    <w:p>
      <w:pPr>
        <w:spacing w:after="0"/>
      </w:pPr>
    </w:p>
    <w:p>
      <w:pPr>
        <w:pStyle w:val="Heading1"/>
      </w:pPr>
      <w:r>
        <w:t>Contents</w:t>
      </w:r>
    </w:p>
    <w:p>
      <w:pPr>
        <w:spacing w:after="40"/>
        <w:ind w:left="216"/>
      </w:pPr>
      <w:r>
        <w:rPr>
          <w:rFonts w:ascii="Liberation Sans" w:hAnsi="Liberation Sans"/>
          <w:b/>
          <w:color w:val="17365D"/>
          <w:sz w:val="19"/>
        </w:rPr>
        <w:t>1  Executive summary</w:t>
      </w:r>
    </w:p>
    <w:p>
      <w:pPr>
        <w:spacing w:after="40"/>
        <w:ind w:left="216"/>
      </w:pPr>
      <w:r>
        <w:rPr>
          <w:rFonts w:ascii="Liberation Sans" w:hAnsi="Liberation Sans"/>
          <w:b/>
          <w:color w:val="17365D"/>
          <w:sz w:val="19"/>
        </w:rPr>
        <w:t>2  Historical case and original hypothesis</w:t>
      </w:r>
    </w:p>
    <w:p>
      <w:pPr>
        <w:spacing w:after="40"/>
        <w:ind w:left="216"/>
      </w:pPr>
      <w:r>
        <w:rPr>
          <w:rFonts w:ascii="Liberation Sans" w:hAnsi="Liberation Sans"/>
          <w:b/>
          <w:color w:val="17365D"/>
          <w:sz w:val="19"/>
        </w:rPr>
        <w:t>3  Physics reconstruction: 76 GeV is not a biological dose</w:t>
      </w:r>
    </w:p>
    <w:p>
      <w:pPr>
        <w:spacing w:after="40"/>
        <w:ind w:left="216"/>
      </w:pPr>
      <w:r>
        <w:rPr>
          <w:rFonts w:ascii="Liberation Sans" w:hAnsi="Liberation Sans"/>
          <w:b/>
          <w:color w:val="17365D"/>
          <w:sz w:val="19"/>
        </w:rPr>
        <w:t>4  Hypothesis falsification: nerve current versus ionization</w:t>
      </w:r>
    </w:p>
    <w:p>
      <w:pPr>
        <w:spacing w:after="40"/>
        <w:ind w:left="216"/>
      </w:pPr>
      <w:r>
        <w:rPr>
          <w:rFonts w:ascii="Liberation Sans" w:hAnsi="Liberation Sans"/>
          <w:b/>
          <w:color w:val="17365D"/>
          <w:sz w:val="19"/>
        </w:rPr>
        <w:t>5  What “preservation” must mean</w:t>
      </w:r>
    </w:p>
    <w:p>
      <w:pPr>
        <w:spacing w:after="40"/>
        <w:ind w:left="216"/>
      </w:pPr>
      <w:r>
        <w:rPr>
          <w:rFonts w:ascii="Liberation Sans" w:hAnsi="Liberation Sans"/>
          <w:b/>
          <w:color w:val="17365D"/>
          <w:sz w:val="19"/>
        </w:rPr>
        <w:t>6  Cross-species evidence</w:t>
      </w:r>
    </w:p>
    <w:p>
      <w:pPr>
        <w:spacing w:after="40"/>
        <w:ind w:left="216"/>
      </w:pPr>
      <w:r>
        <w:rPr>
          <w:rFonts w:ascii="Liberation Sans" w:hAnsi="Liberation Sans"/>
          <w:b/>
          <w:color w:val="17365D"/>
          <w:sz w:val="19"/>
        </w:rPr>
        <w:t>7  Very high local dose + very small volume</w:t>
      </w:r>
    </w:p>
    <w:p>
      <w:pPr>
        <w:spacing w:after="40"/>
        <w:ind w:left="216"/>
      </w:pPr>
      <w:r>
        <w:rPr>
          <w:rFonts w:ascii="Liberation Sans" w:hAnsi="Liberation Sans"/>
          <w:b/>
          <w:color w:val="17365D"/>
          <w:sz w:val="19"/>
        </w:rPr>
        <w:t>8  Hidden-pattern simulation</w:t>
      </w:r>
    </w:p>
    <w:p>
      <w:pPr>
        <w:spacing w:after="40"/>
        <w:ind w:left="216"/>
      </w:pPr>
      <w:r>
        <w:rPr>
          <w:rFonts w:ascii="Liberation Sans" w:hAnsi="Liberation Sans"/>
          <w:b/>
          <w:color w:val="17365D"/>
          <w:sz w:val="19"/>
        </w:rPr>
        <w:t>9  Two-Gate Spatial Rescue</w:t>
      </w:r>
    </w:p>
    <w:p>
      <w:pPr>
        <w:spacing w:after="40"/>
        <w:ind w:left="216"/>
      </w:pPr>
      <w:r>
        <w:rPr>
          <w:rFonts w:ascii="Liberation Sans" w:hAnsi="Liberation Sans"/>
          <w:b/>
          <w:color w:val="17365D"/>
          <w:sz w:val="19"/>
        </w:rPr>
        <w:t>10  Low-dose adaptive and bystander effects</w:t>
      </w:r>
    </w:p>
    <w:p>
      <w:pPr>
        <w:spacing w:after="40"/>
        <w:ind w:left="216"/>
      </w:pPr>
      <w:r>
        <w:rPr>
          <w:rFonts w:ascii="Liberation Sans" w:hAnsi="Liberation Sans"/>
          <w:b/>
          <w:color w:val="17365D"/>
          <w:sz w:val="19"/>
        </w:rPr>
        <w:t>11  FLASH as a temporal modifier</w:t>
      </w:r>
    </w:p>
    <w:p>
      <w:pPr>
        <w:spacing w:after="40"/>
        <w:ind w:left="216"/>
      </w:pPr>
      <w:r>
        <w:rPr>
          <w:rFonts w:ascii="Liberation Sans" w:hAnsi="Liberation Sans"/>
          <w:b/>
          <w:color w:val="17365D"/>
          <w:sz w:val="19"/>
        </w:rPr>
        <w:t>12  Patents and independent convergence</w:t>
      </w:r>
    </w:p>
    <w:p>
      <w:pPr>
        <w:spacing w:after="40"/>
        <w:ind w:left="216"/>
      </w:pPr>
      <w:r>
        <w:rPr>
          <w:rFonts w:ascii="Liberation Sans" w:hAnsi="Liberation Sans"/>
          <w:b/>
          <w:color w:val="17365D"/>
          <w:sz w:val="19"/>
        </w:rPr>
        <w:t>13  0–5 gold-star benchmark</w:t>
      </w:r>
    </w:p>
    <w:p>
      <w:pPr>
        <w:spacing w:after="40"/>
        <w:ind w:left="216"/>
      </w:pPr>
      <w:r>
        <w:rPr>
          <w:rFonts w:ascii="Liberation Sans" w:hAnsi="Liberation Sans"/>
          <w:b/>
          <w:color w:val="17365D"/>
          <w:sz w:val="19"/>
        </w:rPr>
        <w:t>14  Best current mechanism</w:t>
      </w:r>
    </w:p>
    <w:p>
      <w:pPr>
        <w:spacing w:after="40"/>
        <w:ind w:left="216"/>
      </w:pPr>
      <w:r>
        <w:rPr>
          <w:rFonts w:ascii="Liberation Sans" w:hAnsi="Liberation Sans"/>
          <w:b/>
          <w:color w:val="17365D"/>
          <w:sz w:val="19"/>
        </w:rPr>
        <w:t>15  Safe decisive research program</w:t>
      </w:r>
    </w:p>
    <w:p>
      <w:pPr>
        <w:spacing w:after="40"/>
        <w:ind w:left="216"/>
      </w:pPr>
      <w:r>
        <w:rPr>
          <w:rFonts w:ascii="Liberation Sans" w:hAnsi="Liberation Sans"/>
          <w:b/>
          <w:color w:val="17365D"/>
          <w:sz w:val="19"/>
        </w:rPr>
        <w:t>16  Limits, falsifiers and open questions</w:t>
      </w:r>
    </w:p>
    <w:p>
      <w:pPr>
        <w:spacing w:after="40"/>
        <w:ind w:left="216"/>
      </w:pPr>
      <w:r>
        <w:rPr>
          <w:rFonts w:ascii="Liberation Sans" w:hAnsi="Liberation Sans"/>
          <w:b/>
          <w:color w:val="17365D"/>
          <w:sz w:val="19"/>
        </w:rPr>
        <w:t>17  Conclusion</w:t>
      </w:r>
    </w:p>
    <w:p>
      <w:pPr>
        <w:spacing w:after="40"/>
        <w:ind w:left="216"/>
      </w:pPr>
      <w:r>
        <w:rPr>
          <w:rFonts w:ascii="Liberation Sans" w:hAnsi="Liberation Sans"/>
          <w:b/>
          <w:color w:val="17365D"/>
          <w:sz w:val="19"/>
        </w:rPr>
        <w:t>A  Research evolution v1–v9</w:t>
      </w:r>
    </w:p>
    <w:p>
      <w:pPr>
        <w:spacing w:after="40"/>
        <w:ind w:left="216"/>
      </w:pPr>
      <w:r>
        <w:rPr>
          <w:rFonts w:ascii="Liberation Sans" w:hAnsi="Liberation Sans"/>
          <w:b/>
          <w:color w:val="17365D"/>
          <w:sz w:val="19"/>
        </w:rPr>
        <w:t>B  Key equations and computational outputs</w:t>
      </w:r>
    </w:p>
    <w:p>
      <w:pPr>
        <w:spacing w:after="40"/>
        <w:ind w:left="216"/>
      </w:pPr>
      <w:r>
        <w:rPr>
          <w:rFonts w:ascii="Liberation Sans" w:hAnsi="Liberation Sans"/>
          <w:b/>
          <w:color w:val="17365D"/>
          <w:sz w:val="19"/>
        </w:rPr>
        <w:t>C  References</w:t>
      </w:r>
    </w:p>
    <w:p>
      <w:r>
        <w:br w:type="page"/>
      </w:r>
    </w:p>
    <w:p>
      <w:pPr>
        <w:pStyle w:val="Heading1"/>
      </w:pPr>
      <w:r>
        <w:t>1. Executive summary</w:t>
      </w:r>
    </w:p>
    <w:p>
      <w:r>
        <w:rPr>
          <w:rFonts w:ascii="Liberation Sans" w:hAnsi="Liberation Sans"/>
          <w:b/>
          <w:color w:val="17365D"/>
        </w:rPr>
        <w:t xml:space="preserve">Research question. </w:t>
      </w:r>
      <w:r>
        <w:rPr>
          <w:rFonts w:ascii="Liberation Sans" w:hAnsi="Liberation Sans"/>
          <w:sz w:val="19"/>
        </w:rPr>
        <w:t>Can the unusual long-term appearance and localized injury pattern associated with Anatoli Bugorski’s 1978 proton-beam accident reveal a general mechanism by which living tissue can remain structurally preserved after a very intense but extremely spatially confined insult?</w:t>
      </w:r>
    </w:p>
    <w:p>
      <w:pPr>
        <w:ind w:firstLine="259"/>
      </w:pPr>
      <w:r>
        <w:t>The investigation began with a speculative mechanism: a nearly light-speed particle was imagined to carry a very high-frequency magnetic disturbance that might collide with electrical signaling in nerves. That mechanism does not survive established physics. A high-energy proton interacts with tissue mainly through electromagnetic ionization, Coulomb interactions with electrons, energy loss along its track, and occasional nuclear interactions. Those processes occur whether a neuron happens to be firing or electrically silent.</w:t>
      </w:r>
    </w:p>
    <w:p>
      <w:pPr>
        <w:ind w:firstLine="259"/>
      </w:pPr>
      <w:r>
        <w:t>The research became more productive when the question was reformulated from “what special frequency preserved the tissue?” to “how can an organism tolerate enormous local injury when the damaged volume is microscopic?” Published proton-minibeam and microbeam experiments provide a real answer: spatial fractionation can spare normal tissue remarkably well. In several animal models, narrow high-dose tracks coexist with much healthier low-dose valley regions, allowing tissue architecture, perfusion and function to be preserved far better than after a spatially homogeneous exposure of similar average dose.</w:t>
      </w:r>
    </w:p>
    <w:p>
      <w:pPr>
        <w:ind w:firstLine="259"/>
      </w:pPr>
      <w:r>
        <w:t>The strongest cross-study pattern is therefore not energy alone, and not a universal dose. It is a coupled spatial-repair regime: low enough background/valley burden, a damaged strip narrow enough to be bridged by healthy neighbors, preserved microvascular continuity, and sufficient local repair competence. FLASH delivery can further reduce some normal-tissue toxicity, but it does not transform radiation into anti-aging or immortality.</w:t>
      </w:r>
    </w:p>
    <w:p>
      <w:pPr>
        <w:ind w:firstLine="259"/>
      </w:pPr>
      <w:r>
        <w:t>No peer-reviewed experiment or public patent establishes an energy/intensity/dose setting that leaves directly irradiated living human tissue permanently “preserved.” The defensible conclusion is narrower but scientifically meaningful: microvolume geometry can decouple catastrophic local damage from global tissue survival.</w:t>
      </w:r>
    </w:p>
    <w:p>
      <w:pPr>
        <w:pStyle w:val="Equation"/>
        <w:jc w:val="center"/>
      </w:pPr>
      <w:r>
        <w:rPr>
          <w:rFonts w:ascii="Liberation Mono" w:hAnsi="Liberation Mono"/>
          <w:b w:val="0"/>
          <w:color w:val="1C2430"/>
          <w:sz w:val="18"/>
        </w:rPr>
        <w:t>Best current model:  Tissue survival ≈ f(low valley burden, narrow damage width, viable neighbors, vascular continuity, repair competence)</w:t>
      </w:r>
    </w:p>
    <w:p>
      <w:pPr>
        <w:pStyle w:val="Heading1"/>
      </w:pPr>
      <w:r>
        <w:t>2. Historical case and original hypothesis</w:t>
      </w:r>
    </w:p>
    <w:p>
      <w:pPr>
        <w:pStyle w:val="Heading2"/>
      </w:pPr>
      <w:r>
        <w:t>2.1 The Bugorski accident</w:t>
      </w:r>
    </w:p>
    <w:p>
      <w:r>
        <w:t>In 1978, Anatoli Bugorski was accidentally exposed at the U-70 synchrotron in Protvino to a beam reported as 76 GeV protons. Historical summaries describe a brilliant flash sensation without immediate pain, followed by radiation injury, unilateral facial paralysis, hearing loss and later seizures. He survived and continued his scientific career [B1].</w:t>
      </w:r>
    </w:p>
    <w:p>
      <w:r>
        <w:t>Popular retellings sometimes describe the affected side of his face as unusually wrinkle-free or “frozen in time.” That observation is interesting but heavily confounded: denervation removes repetitive facial muscle contraction, and chronic radiation injury can also produce fibrosis, atrophy, vascular injury and altered collagen mechanics. The appearance alone therefore cannot demonstrate slower cellular aging.</w:t>
      </w:r>
    </w:p>
    <w:p>
      <w:r>
        <w:t>A separate claim encountered during the investigation—that Bugorski died and the irradiated cheek resisted decomposition—could not be verified in credible sources. It is treated throughout this dossier as UNVERIFIED, not as evidence.</w:t>
      </w:r>
    </w:p>
    <w:p>
      <w:pPr>
        <w:pStyle w:val="Heading2"/>
      </w:pPr>
      <w:r>
        <w:t>2.2 Original user hypothesis</w:t>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C75B12"/>
                <w:sz w:val="19"/>
              </w:rPr>
              <w:t xml:space="preserve">Original hypothesis — </w:t>
            </w:r>
            <w:r>
              <w:rPr>
                <w:rFonts w:ascii="Liberation Sans" w:hAnsi="Liberation Sans"/>
                <w:color w:val="1C2430"/>
                <w:sz w:val="19"/>
              </w:rPr>
              <w:t>A high-energy proton/field was proposed to interact with small electrical signals in the nervous system, locally stopping nerve function while leaving the tissue structurally preserved; removing neural current was proposed as a possible way to preserve tissue without paralysis.</w:t>
            </w:r>
          </w:p>
        </w:tc>
      </w:tr>
    </w:tbl>
    <w:p>
      <w:pPr>
        <w:spacing w:after="0"/>
      </w:pPr>
    </w:p>
    <w:p>
      <w:r>
        <w:t>This formulation was valuable as a hypothesis generator because it forced the research to separate five different phenomena: nerve conduction, energy deposition, cell viability, visible structural persistence, and decomposition. Once separated, they can be tested independently rather than being bundled into a single “immortality” claim.</w:t>
      </w:r>
    </w:p>
    <w:p>
      <w:pPr>
        <w:pStyle w:val="Heading1"/>
      </w:pPr>
      <w:r>
        <w:t>3. Physics reconstruction: 76 GeV is not a biological dose</w:t>
      </w:r>
    </w:p>
    <w:p>
      <w:pPr>
        <w:pStyle w:val="Heading2"/>
      </w:pPr>
      <w:r>
        <w:t>3.1 Relativistic scale</w:t>
      </w:r>
    </w:p>
    <w:p>
      <w:pPr>
        <w:pStyle w:val="Equation"/>
        <w:jc w:val="center"/>
      </w:pPr>
      <w:r>
        <w:rPr>
          <w:rFonts w:ascii="Liberation Mono" w:hAnsi="Liberation Mono"/>
          <w:b w:val="0"/>
          <w:color w:val="1C2430"/>
          <w:sz w:val="18"/>
        </w:rPr>
        <w:t>Kinetic energy K = 76 GeV per proton</w:t>
      </w:r>
    </w:p>
    <w:p>
      <w:pPr>
        <w:pStyle w:val="Equation"/>
        <w:jc w:val="center"/>
      </w:pPr>
      <w:r>
        <w:rPr>
          <w:rFonts w:ascii="Liberation Mono" w:hAnsi="Liberation Mono"/>
          <w:b w:val="0"/>
          <w:color w:val="1C2430"/>
          <w:sz w:val="18"/>
        </w:rPr>
        <w:t>gamma ≈ 81.99996;   beta = v/c ≈ 0.99992564;   v ≈ 99.99256% of c</w:t>
      </w:r>
    </w:p>
    <w:p>
      <w:pPr>
        <w:pStyle w:val="Equation"/>
        <w:jc w:val="center"/>
      </w:pPr>
      <w:r>
        <w:rPr>
          <w:rFonts w:ascii="Liberation Mono" w:hAnsi="Liberation Mono"/>
          <w:b w:val="0"/>
          <w:color w:val="1C2430"/>
          <w:sz w:val="18"/>
        </w:rPr>
        <w:t>Quantum matter-wave frequency from total energy: f = E/h ≈ 1.86 × 10^25 Hz</w:t>
      </w:r>
    </w:p>
    <w:p>
      <w:pPr>
        <w:pStyle w:val="Equation"/>
        <w:jc w:val="center"/>
      </w:pPr>
      <w:r>
        <w:rPr>
          <w:rFonts w:ascii="Liberation Mono" w:hAnsi="Liberation Mono"/>
          <w:b w:val="0"/>
          <w:color w:val="1C2430"/>
          <w:sz w:val="18"/>
        </w:rPr>
        <w:t>de Broglie wavelength: λ ≈ 1.61 × 10^-17 m</w:t>
      </w:r>
    </w:p>
    <w:p>
      <w:r>
        <w:t>These quantum quantities are not a single biological “magnetic frequency.” A moving proton has electric and magnetic fields, but tissue experiences a brief charged-particle track with ionization and scattering. The biologically relevant quantities include absorbed dose, LET, fluence, geometry, dose-rate and tissue radiosensitivity—not just the accelerator’s quoted proton energy.</w:t>
      </w:r>
    </w:p>
    <w:p>
      <w:pPr>
        <w:pStyle w:val="Heading2"/>
      </w:pPr>
      <w:r>
        <w:t>3.2 Energy per particle versus absorbed dose</w:t>
      </w:r>
    </w:p>
    <w:p>
      <w:pPr>
        <w:pStyle w:val="Equation"/>
        <w:jc w:val="center"/>
      </w:pPr>
      <w:r>
        <w:rPr>
          <w:rFonts w:ascii="Liberation Mono" w:hAnsi="Liberation Mono"/>
          <w:b w:val="0"/>
          <w:color w:val="1C2430"/>
          <w:sz w:val="18"/>
        </w:rPr>
        <w:t>1 Gy = 1 joule of absorbed energy per kilogram of material</w:t>
      </w:r>
    </w:p>
    <w:p>
      <w:r>
        <w:t>Two exposures can use the same proton energy yet have radically different biological outcomes because the number of particles, track density, target volume and dose distribution differ. Conversely, very energetic transmission protons can behave radiobiologically near low-LET photons. A 2026 in-vitro study of high-energy transmission proton beams measured RBE values close to unity at 2 Gy (median roughly 1.04–1.07) across four tested cell lines [B2].</w:t>
      </w:r>
    </w:p>
    <w:p>
      <w:pPr>
        <w:pStyle w:val="Heading2"/>
      </w:pPr>
      <w:r>
        <w:t>3.3 Why opening the vacuum does not create a new preservation regime</w:t>
      </w:r>
    </w:p>
    <w:p>
      <w:r>
        <w:t>If a proton beam leaves a vacuum and enters air, it remains a charged-particle beam. Collisions with gas molecules increase scattering and energy loss. The beam does not become a pure magnetic wave, and an open-air path does not remove ionization biology. This rejected one branch of the original model.</w:t>
      </w:r>
    </w:p>
    <w:p>
      <w:pPr>
        <w:pStyle w:val="Heading1"/>
      </w:pPr>
      <w:r>
        <w:t>4. Hypothesis falsification: nerve current versus ionization</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2880"/>
            <w:shd w:fill="17365D"/>
            <w:tcMar>
              <w:top w:w="80" w:type="dxa"/>
              <w:start w:w="90" w:type="dxa"/>
              <w:bottom w:w="80" w:type="dxa"/>
              <w:end w:w="90" w:type="dxa"/>
            </w:tcMar>
          </w:tcPr>
          <w:p>
            <w:pPr>
              <w:jc w:val="center"/>
            </w:pPr>
            <w:r>
              <w:rPr>
                <w:rFonts w:ascii="Liberation Sans" w:hAnsi="Liberation Sans"/>
                <w:b/>
                <w:color w:val="FFFFFF"/>
                <w:sz w:val="16"/>
              </w:rPr>
              <w:t>Claim</w:t>
            </w:r>
          </w:p>
        </w:tc>
        <w:tc>
          <w:tcPr>
            <w:tcW w:type="dxa" w:w="1944"/>
            <w:shd w:fill="17365D"/>
            <w:tcMar>
              <w:top w:w="80" w:type="dxa"/>
              <w:start w:w="90" w:type="dxa"/>
              <w:bottom w:w="80" w:type="dxa"/>
              <w:end w:w="90" w:type="dxa"/>
            </w:tcMar>
          </w:tcPr>
          <w:p>
            <w:pPr>
              <w:jc w:val="center"/>
            </w:pPr>
            <w:r>
              <w:rPr>
                <w:rFonts w:ascii="Liberation Sans" w:hAnsi="Liberation Sans"/>
                <w:b/>
                <w:color w:val="FFFFFF"/>
                <w:sz w:val="16"/>
              </w:rPr>
              <w:t>Status</w:t>
            </w:r>
          </w:p>
        </w:tc>
        <w:tc>
          <w:tcPr>
            <w:tcW w:type="dxa" w:w="4536"/>
            <w:shd w:fill="17365D"/>
            <w:tcMar>
              <w:top w:w="80" w:type="dxa"/>
              <w:start w:w="90" w:type="dxa"/>
              <w:bottom w:w="80" w:type="dxa"/>
              <w:end w:w="90" w:type="dxa"/>
            </w:tcMar>
          </w:tcPr>
          <w:p>
            <w:pPr>
              <w:jc w:val="center"/>
            </w:pPr>
            <w:r>
              <w:rPr>
                <w:rFonts w:ascii="Liberation Sans" w:hAnsi="Liberation Sans"/>
                <w:b/>
                <w:color w:val="FFFFFF"/>
                <w:sz w:val="16"/>
              </w:rPr>
              <w:t>Reason</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6"/>
              </w:rPr>
              <w:t>Proton injury requires an active nerve impulse</w:t>
            </w:r>
          </w:p>
        </w:tc>
        <w:tc>
          <w:tcPr>
            <w:tcW w:type="dxa" w:w="1944"/>
            <w:tcMar>
              <w:top w:w="80" w:type="dxa"/>
              <w:start w:w="90" w:type="dxa"/>
              <w:bottom w:w="80" w:type="dxa"/>
              <w:end w:w="90" w:type="dxa"/>
            </w:tcMar>
            <w:vAlign w:val="center"/>
          </w:tcPr>
          <w:p>
            <w:r>
              <w:rPr>
                <w:rFonts w:ascii="Liberation Sans" w:hAnsi="Liberation Sans"/>
                <w:color w:val="1C2430"/>
                <w:sz w:val="16"/>
              </w:rPr>
              <w:t>FAILED / unsupported</w:t>
            </w:r>
          </w:p>
        </w:tc>
        <w:tc>
          <w:tcPr>
            <w:tcW w:type="dxa" w:w="4536"/>
            <w:tcMar>
              <w:top w:w="80" w:type="dxa"/>
              <w:start w:w="90" w:type="dxa"/>
              <w:bottom w:w="80" w:type="dxa"/>
              <w:end w:w="90" w:type="dxa"/>
            </w:tcMar>
            <w:vAlign w:val="center"/>
          </w:tcPr>
          <w:p>
            <w:r>
              <w:rPr>
                <w:rFonts w:ascii="Liberation Sans" w:hAnsi="Liberation Sans"/>
                <w:color w:val="1C2430"/>
                <w:sz w:val="16"/>
              </w:rPr>
              <w:t>Ionization and scattering act on atoms/electrons regardless of whether an action potential is present.</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6"/>
              </w:rPr>
              <w:t>Electrical silence is a radiation shield</w:t>
            </w:r>
          </w:p>
        </w:tc>
        <w:tc>
          <w:tcPr>
            <w:tcW w:type="dxa" w:w="1944"/>
            <w:tcMar>
              <w:top w:w="80" w:type="dxa"/>
              <w:start w:w="90" w:type="dxa"/>
              <w:bottom w:w="80" w:type="dxa"/>
              <w:end w:w="90" w:type="dxa"/>
            </w:tcMar>
            <w:vAlign w:val="center"/>
          </w:tcPr>
          <w:p>
            <w:r>
              <w:rPr>
                <w:rFonts w:ascii="Liberation Sans" w:hAnsi="Liberation Sans"/>
                <w:color w:val="1C2430"/>
                <w:sz w:val="16"/>
              </w:rPr>
              <w:t>Strongly disfavored</w:t>
            </w:r>
          </w:p>
        </w:tc>
        <w:tc>
          <w:tcPr>
            <w:tcW w:type="dxa" w:w="4536"/>
            <w:tcMar>
              <w:top w:w="80" w:type="dxa"/>
              <w:start w:w="90" w:type="dxa"/>
              <w:bottom w:w="80" w:type="dxa"/>
              <w:end w:w="90" w:type="dxa"/>
            </w:tcMar>
            <w:vAlign w:val="center"/>
          </w:tcPr>
          <w:p>
            <w:r>
              <w:rPr>
                <w:rFonts w:ascii="Liberation Sans" w:hAnsi="Liberation Sans"/>
                <w:color w:val="1C2430"/>
                <w:sz w:val="16"/>
              </w:rPr>
              <w:t>Electrically silent cells still contain DNA, membranes, water and electrons; energy deposition still occurs.</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6"/>
              </w:rPr>
              <w:t>Facial paralysis can reduce wrinkles</w:t>
            </w:r>
          </w:p>
        </w:tc>
        <w:tc>
          <w:tcPr>
            <w:tcW w:type="dxa" w:w="1944"/>
            <w:tcMar>
              <w:top w:w="80" w:type="dxa"/>
              <w:start w:w="90" w:type="dxa"/>
              <w:bottom w:w="80" w:type="dxa"/>
              <w:end w:w="90" w:type="dxa"/>
            </w:tcMar>
            <w:vAlign w:val="center"/>
          </w:tcPr>
          <w:p>
            <w:r>
              <w:rPr>
                <w:rFonts w:ascii="Liberation Sans" w:hAnsi="Liberation Sans"/>
                <w:color w:val="1C2430"/>
                <w:sz w:val="16"/>
              </w:rPr>
              <w:t>Supported hypothesis</w:t>
            </w:r>
          </w:p>
        </w:tc>
        <w:tc>
          <w:tcPr>
            <w:tcW w:type="dxa" w:w="4536"/>
            <w:tcMar>
              <w:top w:w="80" w:type="dxa"/>
              <w:start w:w="90" w:type="dxa"/>
              <w:bottom w:w="80" w:type="dxa"/>
              <w:end w:w="90" w:type="dxa"/>
            </w:tcMar>
            <w:vAlign w:val="center"/>
          </w:tcPr>
          <w:p>
            <w:r>
              <w:rPr>
                <w:rFonts w:ascii="Liberation Sans" w:hAnsi="Liberation Sans"/>
                <w:color w:val="1C2430"/>
                <w:sz w:val="16"/>
              </w:rPr>
              <w:t>Loss of repeated muscle contraction reduces expression-line formation.</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6"/>
              </w:rPr>
              <w:t>Radiation can alter tissue appearance</w:t>
            </w:r>
          </w:p>
        </w:tc>
        <w:tc>
          <w:tcPr>
            <w:tcW w:type="dxa" w:w="1944"/>
            <w:tcMar>
              <w:top w:w="80" w:type="dxa"/>
              <w:start w:w="90" w:type="dxa"/>
              <w:bottom w:w="80" w:type="dxa"/>
              <w:end w:w="90" w:type="dxa"/>
            </w:tcMar>
            <w:vAlign w:val="center"/>
          </w:tcPr>
          <w:p>
            <w:r>
              <w:rPr>
                <w:rFonts w:ascii="Liberation Sans" w:hAnsi="Liberation Sans"/>
                <w:color w:val="1C2430"/>
                <w:sz w:val="16"/>
              </w:rPr>
              <w:t>Supported hypothesis</w:t>
            </w:r>
          </w:p>
        </w:tc>
        <w:tc>
          <w:tcPr>
            <w:tcW w:type="dxa" w:w="4536"/>
            <w:tcMar>
              <w:top w:w="80" w:type="dxa"/>
              <w:start w:w="90" w:type="dxa"/>
              <w:bottom w:w="80" w:type="dxa"/>
              <w:end w:w="90" w:type="dxa"/>
            </w:tcMar>
            <w:vAlign w:val="center"/>
          </w:tcPr>
          <w:p>
            <w:r>
              <w:rPr>
                <w:rFonts w:ascii="Liberation Sans" w:hAnsi="Liberation Sans"/>
                <w:color w:val="1C2430"/>
                <w:sz w:val="16"/>
              </w:rPr>
              <w:t>Fibrosis, atrophy, vascular change and collagen remodeling alter mechanics and texture.</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6"/>
              </w:rPr>
              <w:t>Radiation creates immortal living tissue</w:t>
            </w:r>
          </w:p>
        </w:tc>
        <w:tc>
          <w:tcPr>
            <w:tcW w:type="dxa" w:w="1944"/>
            <w:tcMar>
              <w:top w:w="80" w:type="dxa"/>
              <w:start w:w="90" w:type="dxa"/>
              <w:bottom w:w="80" w:type="dxa"/>
              <w:end w:w="90" w:type="dxa"/>
            </w:tcMar>
            <w:vAlign w:val="center"/>
          </w:tcPr>
          <w:p>
            <w:r>
              <w:rPr>
                <w:rFonts w:ascii="Liberation Sans" w:hAnsi="Liberation Sans"/>
                <w:color w:val="1C2430"/>
                <w:sz w:val="16"/>
              </w:rPr>
              <w:t>Not demonstrated</w:t>
            </w:r>
          </w:p>
        </w:tc>
        <w:tc>
          <w:tcPr>
            <w:tcW w:type="dxa" w:w="4536"/>
            <w:tcMar>
              <w:top w:w="80" w:type="dxa"/>
              <w:start w:w="90" w:type="dxa"/>
              <w:bottom w:w="80" w:type="dxa"/>
              <w:end w:w="90" w:type="dxa"/>
            </w:tcMar>
            <w:vAlign w:val="center"/>
          </w:tcPr>
          <w:p>
            <w:r>
              <w:rPr>
                <w:rFonts w:ascii="Liberation Sans" w:hAnsi="Liberation Sans"/>
                <w:color w:val="1C2430"/>
                <w:sz w:val="16"/>
              </w:rPr>
              <w:t>Published radiobiology instead shows DNA damage, senescence, apoptosis/necrosis and fibrosis.</w:t>
            </w:r>
          </w:p>
        </w:tc>
      </w:tr>
    </w:tbl>
    <w:p>
      <w:pPr>
        <w:spacing w:after="20"/>
      </w:pPr>
    </w:p>
    <w:p>
      <w:r>
        <w:t>This falsification was not a dead end. It shifted the research from an incorrect microscopic collision model to the experimentally supported question of how spatial geometry changes tissue-level survival.</w:t>
      </w:r>
    </w:p>
    <w:p>
      <w:pPr>
        <w:pStyle w:val="Heading1"/>
      </w:pPr>
      <w:r>
        <w:t>5. What “preservation” must mean</w:t>
      </w:r>
    </w:p>
    <w:p>
      <w:r>
        <w:t>A central conceptual error in many informal discussions is treating three states as equivalent. They are not:</w:t>
      </w:r>
    </w:p>
    <w:p>
      <w:pPr>
        <w:pStyle w:val="Equation"/>
        <w:jc w:val="center"/>
      </w:pPr>
      <w:r>
        <w:rPr>
          <w:rFonts w:ascii="Liberation Mono" w:hAnsi="Liberation Mono"/>
          <w:b w:val="0"/>
          <w:color w:val="1C2430"/>
          <w:sz w:val="18"/>
        </w:rPr>
        <w:t>Visual preservation  ≠  structural preservation  ≠  living-tissue preservation</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1584"/>
            <w:shd w:fill="17365D"/>
            <w:tcMar>
              <w:top w:w="80" w:type="dxa"/>
              <w:start w:w="90" w:type="dxa"/>
              <w:bottom w:w="80" w:type="dxa"/>
              <w:end w:w="90" w:type="dxa"/>
            </w:tcMar>
          </w:tcPr>
          <w:p>
            <w:pPr>
              <w:jc w:val="center"/>
            </w:pPr>
            <w:r>
              <w:rPr>
                <w:rFonts w:ascii="Liberation Sans" w:hAnsi="Liberation Sans"/>
                <w:b/>
                <w:color w:val="FFFFFF"/>
                <w:sz w:val="16"/>
              </w:rPr>
              <w:t>Level</w:t>
            </w:r>
          </w:p>
        </w:tc>
        <w:tc>
          <w:tcPr>
            <w:tcW w:type="dxa" w:w="3528"/>
            <w:shd w:fill="17365D"/>
            <w:tcMar>
              <w:top w:w="80" w:type="dxa"/>
              <w:start w:w="90" w:type="dxa"/>
              <w:bottom w:w="80" w:type="dxa"/>
              <w:end w:w="90" w:type="dxa"/>
            </w:tcMar>
          </w:tcPr>
          <w:p>
            <w:pPr>
              <w:jc w:val="center"/>
            </w:pPr>
            <w:r>
              <w:rPr>
                <w:rFonts w:ascii="Liberation Sans" w:hAnsi="Liberation Sans"/>
                <w:b/>
                <w:color w:val="FFFFFF"/>
                <w:sz w:val="16"/>
              </w:rPr>
              <w:t>What can remain “preserved”?</w:t>
            </w:r>
          </w:p>
        </w:tc>
        <w:tc>
          <w:tcPr>
            <w:tcW w:type="dxa" w:w="4248"/>
            <w:shd w:fill="17365D"/>
            <w:tcMar>
              <w:top w:w="80" w:type="dxa"/>
              <w:start w:w="90" w:type="dxa"/>
              <w:bottom w:w="80" w:type="dxa"/>
              <w:end w:w="90" w:type="dxa"/>
            </w:tcMar>
          </w:tcPr>
          <w:p>
            <w:pPr>
              <w:jc w:val="center"/>
            </w:pPr>
            <w:r>
              <w:rPr>
                <w:rFonts w:ascii="Liberation Sans" w:hAnsi="Liberation Sans"/>
                <w:b/>
                <w:color w:val="FFFFFF"/>
                <w:sz w:val="16"/>
              </w:rPr>
              <w:t>What must be measured</w:t>
            </w:r>
          </w:p>
        </w:tc>
      </w:tr>
      <w:tr>
        <w:trPr>
          <w:cantSplit w:val="true"/>
        </w:trPr>
        <w:tc>
          <w:tcPr>
            <w:tcW w:type="dxa" w:w="1584"/>
            <w:tcMar>
              <w:top w:w="80" w:type="dxa"/>
              <w:start w:w="90" w:type="dxa"/>
              <w:bottom w:w="80" w:type="dxa"/>
              <w:end w:w="90" w:type="dxa"/>
            </w:tcMar>
            <w:vAlign w:val="center"/>
          </w:tcPr>
          <w:p>
            <w:r>
              <w:rPr>
                <w:rFonts w:ascii="Liberation Sans" w:hAnsi="Liberation Sans"/>
                <w:color w:val="1C2430"/>
                <w:sz w:val="16"/>
              </w:rPr>
              <w:t>Visual</w:t>
            </w:r>
          </w:p>
        </w:tc>
        <w:tc>
          <w:tcPr>
            <w:tcW w:type="dxa" w:w="3528"/>
            <w:tcMar>
              <w:top w:w="80" w:type="dxa"/>
              <w:start w:w="90" w:type="dxa"/>
              <w:bottom w:w="80" w:type="dxa"/>
              <w:end w:w="90" w:type="dxa"/>
            </w:tcMar>
            <w:vAlign w:val="center"/>
          </w:tcPr>
          <w:p>
            <w:r>
              <w:rPr>
                <w:rFonts w:ascii="Liberation Sans" w:hAnsi="Liberation Sans"/>
                <w:color w:val="1C2430"/>
                <w:sz w:val="16"/>
              </w:rPr>
              <w:t>Shape, texture, absence of decomposition</w:t>
            </w:r>
          </w:p>
        </w:tc>
        <w:tc>
          <w:tcPr>
            <w:tcW w:type="dxa" w:w="4248"/>
            <w:tcMar>
              <w:top w:w="80" w:type="dxa"/>
              <w:start w:w="90" w:type="dxa"/>
              <w:bottom w:w="80" w:type="dxa"/>
              <w:end w:w="90" w:type="dxa"/>
            </w:tcMar>
            <w:vAlign w:val="center"/>
          </w:tcPr>
          <w:p>
            <w:r>
              <w:rPr>
                <w:rFonts w:ascii="Liberation Sans" w:hAnsi="Liberation Sans"/>
                <w:color w:val="1C2430"/>
                <w:sz w:val="16"/>
              </w:rPr>
              <w:t>Imaging, gross appearance, mass loss</w:t>
            </w:r>
          </w:p>
        </w:tc>
      </w:tr>
      <w:tr>
        <w:trPr>
          <w:cantSplit w:val="true"/>
        </w:trPr>
        <w:tc>
          <w:tcPr>
            <w:tcW w:type="dxa" w:w="1584"/>
            <w:tcMar>
              <w:top w:w="80" w:type="dxa"/>
              <w:start w:w="90" w:type="dxa"/>
              <w:bottom w:w="80" w:type="dxa"/>
              <w:end w:w="90" w:type="dxa"/>
            </w:tcMar>
            <w:vAlign w:val="center"/>
          </w:tcPr>
          <w:p>
            <w:r>
              <w:rPr>
                <w:rFonts w:ascii="Liberation Sans" w:hAnsi="Liberation Sans"/>
                <w:color w:val="1C2430"/>
                <w:sz w:val="16"/>
              </w:rPr>
              <w:t>Structural</w:t>
            </w:r>
          </w:p>
        </w:tc>
        <w:tc>
          <w:tcPr>
            <w:tcW w:type="dxa" w:w="3528"/>
            <w:tcMar>
              <w:top w:w="80" w:type="dxa"/>
              <w:start w:w="90" w:type="dxa"/>
              <w:bottom w:w="80" w:type="dxa"/>
              <w:end w:w="90" w:type="dxa"/>
            </w:tcMar>
            <w:vAlign w:val="center"/>
          </w:tcPr>
          <w:p>
            <w:r>
              <w:rPr>
                <w:rFonts w:ascii="Liberation Sans" w:hAnsi="Liberation Sans"/>
                <w:color w:val="1C2430"/>
                <w:sz w:val="16"/>
              </w:rPr>
              <w:t>Collagen, extracellular matrix, mechanical integrity</w:t>
            </w:r>
          </w:p>
        </w:tc>
        <w:tc>
          <w:tcPr>
            <w:tcW w:type="dxa" w:w="4248"/>
            <w:tcMar>
              <w:top w:w="80" w:type="dxa"/>
              <w:start w:w="90" w:type="dxa"/>
              <w:bottom w:w="80" w:type="dxa"/>
              <w:end w:w="90" w:type="dxa"/>
            </w:tcMar>
            <w:vAlign w:val="center"/>
          </w:tcPr>
          <w:p>
            <w:r>
              <w:rPr>
                <w:rFonts w:ascii="Liberation Sans" w:hAnsi="Liberation Sans"/>
                <w:color w:val="1C2430"/>
                <w:sz w:val="16"/>
              </w:rPr>
              <w:t>Histology, collagen organization, stiffness/tensile response</w:t>
            </w:r>
          </w:p>
        </w:tc>
      </w:tr>
      <w:tr>
        <w:trPr>
          <w:cantSplit w:val="true"/>
        </w:trPr>
        <w:tc>
          <w:tcPr>
            <w:tcW w:type="dxa" w:w="1584"/>
            <w:tcMar>
              <w:top w:w="80" w:type="dxa"/>
              <w:start w:w="90" w:type="dxa"/>
              <w:bottom w:w="80" w:type="dxa"/>
              <w:end w:w="90" w:type="dxa"/>
            </w:tcMar>
            <w:vAlign w:val="center"/>
          </w:tcPr>
          <w:p>
            <w:r>
              <w:rPr>
                <w:rFonts w:ascii="Liberation Sans" w:hAnsi="Liberation Sans"/>
                <w:color w:val="1C2430"/>
                <w:sz w:val="16"/>
              </w:rPr>
              <w:t>Microbial</w:t>
            </w:r>
          </w:p>
        </w:tc>
        <w:tc>
          <w:tcPr>
            <w:tcW w:type="dxa" w:w="3528"/>
            <w:tcMar>
              <w:top w:w="80" w:type="dxa"/>
              <w:start w:w="90" w:type="dxa"/>
              <w:bottom w:w="80" w:type="dxa"/>
              <w:end w:w="90" w:type="dxa"/>
            </w:tcMar>
            <w:vAlign w:val="center"/>
          </w:tcPr>
          <w:p>
            <w:r>
              <w:rPr>
                <w:rFonts w:ascii="Liberation Sans" w:hAnsi="Liberation Sans"/>
                <w:color w:val="1C2430"/>
                <w:sz w:val="16"/>
              </w:rPr>
              <w:t>Low bacteria/fungi and slow putrefaction</w:t>
            </w:r>
          </w:p>
        </w:tc>
        <w:tc>
          <w:tcPr>
            <w:tcW w:type="dxa" w:w="4248"/>
            <w:tcMar>
              <w:top w:w="80" w:type="dxa"/>
              <w:start w:w="90" w:type="dxa"/>
              <w:bottom w:w="80" w:type="dxa"/>
              <w:end w:w="90" w:type="dxa"/>
            </w:tcMar>
            <w:vAlign w:val="center"/>
          </w:tcPr>
          <w:p>
            <w:r>
              <w:rPr>
                <w:rFonts w:ascii="Liberation Sans" w:hAnsi="Liberation Sans"/>
                <w:color w:val="1C2430"/>
                <w:sz w:val="16"/>
              </w:rPr>
              <w:t>Culture/sequence burden, decomposition chemistry</w:t>
            </w:r>
          </w:p>
        </w:tc>
      </w:tr>
      <w:tr>
        <w:trPr>
          <w:cantSplit w:val="true"/>
        </w:trPr>
        <w:tc>
          <w:tcPr>
            <w:tcW w:type="dxa" w:w="1584"/>
            <w:tcMar>
              <w:top w:w="80" w:type="dxa"/>
              <w:start w:w="90" w:type="dxa"/>
              <w:bottom w:w="80" w:type="dxa"/>
              <w:end w:w="90" w:type="dxa"/>
            </w:tcMar>
            <w:vAlign w:val="center"/>
          </w:tcPr>
          <w:p>
            <w:r>
              <w:rPr>
                <w:rFonts w:ascii="Liberation Sans" w:hAnsi="Liberation Sans"/>
                <w:color w:val="1C2430"/>
                <w:sz w:val="16"/>
              </w:rPr>
              <w:t>Cellular viability</w:t>
            </w:r>
          </w:p>
        </w:tc>
        <w:tc>
          <w:tcPr>
            <w:tcW w:type="dxa" w:w="3528"/>
            <w:tcMar>
              <w:top w:w="80" w:type="dxa"/>
              <w:start w:w="90" w:type="dxa"/>
              <w:bottom w:w="80" w:type="dxa"/>
              <w:end w:w="90" w:type="dxa"/>
            </w:tcMar>
            <w:vAlign w:val="center"/>
          </w:tcPr>
          <w:p>
            <w:r>
              <w:rPr>
                <w:rFonts w:ascii="Liberation Sans" w:hAnsi="Liberation Sans"/>
                <w:color w:val="1C2430"/>
                <w:sz w:val="16"/>
              </w:rPr>
              <w:t>Metabolism and membrane integrity</w:t>
            </w:r>
          </w:p>
        </w:tc>
        <w:tc>
          <w:tcPr>
            <w:tcW w:type="dxa" w:w="4248"/>
            <w:tcMar>
              <w:top w:w="80" w:type="dxa"/>
              <w:start w:w="90" w:type="dxa"/>
              <w:bottom w:w="80" w:type="dxa"/>
              <w:end w:w="90" w:type="dxa"/>
            </w:tcMar>
            <w:vAlign w:val="center"/>
          </w:tcPr>
          <w:p>
            <w:r>
              <w:rPr>
                <w:rFonts w:ascii="Liberation Sans" w:hAnsi="Liberation Sans"/>
                <w:color w:val="1C2430"/>
                <w:sz w:val="16"/>
              </w:rPr>
              <w:t>ATP, live/dead staining, outgrowth</w:t>
            </w:r>
          </w:p>
        </w:tc>
      </w:tr>
      <w:tr>
        <w:trPr>
          <w:cantSplit w:val="true"/>
        </w:trPr>
        <w:tc>
          <w:tcPr>
            <w:tcW w:type="dxa" w:w="1584"/>
            <w:tcMar>
              <w:top w:w="80" w:type="dxa"/>
              <w:start w:w="90" w:type="dxa"/>
              <w:bottom w:w="80" w:type="dxa"/>
              <w:end w:w="90" w:type="dxa"/>
            </w:tcMar>
            <w:vAlign w:val="center"/>
          </w:tcPr>
          <w:p>
            <w:r>
              <w:rPr>
                <w:rFonts w:ascii="Liberation Sans" w:hAnsi="Liberation Sans"/>
                <w:color w:val="1C2430"/>
                <w:sz w:val="16"/>
              </w:rPr>
              <w:t>Genomic/aging state</w:t>
            </w:r>
          </w:p>
        </w:tc>
        <w:tc>
          <w:tcPr>
            <w:tcW w:type="dxa" w:w="3528"/>
            <w:tcMar>
              <w:top w:w="80" w:type="dxa"/>
              <w:start w:w="90" w:type="dxa"/>
              <w:bottom w:w="80" w:type="dxa"/>
              <w:end w:w="90" w:type="dxa"/>
            </w:tcMar>
            <w:vAlign w:val="center"/>
          </w:tcPr>
          <w:p>
            <w:r>
              <w:rPr>
                <w:rFonts w:ascii="Liberation Sans" w:hAnsi="Liberation Sans"/>
                <w:color w:val="1C2430"/>
                <w:sz w:val="16"/>
              </w:rPr>
              <w:t>Low DNA damage and low senescence</w:t>
            </w:r>
          </w:p>
        </w:tc>
        <w:tc>
          <w:tcPr>
            <w:tcW w:type="dxa" w:w="4248"/>
            <w:tcMar>
              <w:top w:w="80" w:type="dxa"/>
              <w:start w:w="90" w:type="dxa"/>
              <w:bottom w:w="80" w:type="dxa"/>
              <w:end w:w="90" w:type="dxa"/>
            </w:tcMar>
            <w:vAlign w:val="center"/>
          </w:tcPr>
          <w:p>
            <w:r>
              <w:rPr>
                <w:rFonts w:ascii="Liberation Sans" w:hAnsi="Liberation Sans"/>
                <w:color w:val="1C2430"/>
                <w:sz w:val="16"/>
              </w:rPr>
              <w:t>DNA-damage markers, senescence markers</w:t>
            </w:r>
          </w:p>
        </w:tc>
      </w:tr>
      <w:tr>
        <w:trPr>
          <w:cantSplit w:val="true"/>
        </w:trPr>
        <w:tc>
          <w:tcPr>
            <w:tcW w:type="dxa" w:w="1584"/>
            <w:tcMar>
              <w:top w:w="80" w:type="dxa"/>
              <w:start w:w="90" w:type="dxa"/>
              <w:bottom w:w="80" w:type="dxa"/>
              <w:end w:w="90" w:type="dxa"/>
            </w:tcMar>
            <w:vAlign w:val="center"/>
          </w:tcPr>
          <w:p>
            <w:r>
              <w:rPr>
                <w:rFonts w:ascii="Liberation Sans" w:hAnsi="Liberation Sans"/>
                <w:color w:val="1C2430"/>
                <w:sz w:val="16"/>
              </w:rPr>
              <w:t>Functional</w:t>
            </w:r>
          </w:p>
        </w:tc>
        <w:tc>
          <w:tcPr>
            <w:tcW w:type="dxa" w:w="3528"/>
            <w:tcMar>
              <w:top w:w="80" w:type="dxa"/>
              <w:start w:w="90" w:type="dxa"/>
              <w:bottom w:w="80" w:type="dxa"/>
              <w:end w:w="90" w:type="dxa"/>
            </w:tcMar>
            <w:vAlign w:val="center"/>
          </w:tcPr>
          <w:p>
            <w:r>
              <w:rPr>
                <w:rFonts w:ascii="Liberation Sans" w:hAnsi="Liberation Sans"/>
                <w:color w:val="1C2430"/>
                <w:sz w:val="16"/>
              </w:rPr>
              <w:t>Normal tissue/organ function</w:t>
            </w:r>
          </w:p>
        </w:tc>
        <w:tc>
          <w:tcPr>
            <w:tcW w:type="dxa" w:w="4248"/>
            <w:tcMar>
              <w:top w:w="80" w:type="dxa"/>
              <w:start w:w="90" w:type="dxa"/>
              <w:bottom w:w="80" w:type="dxa"/>
              <w:end w:w="90" w:type="dxa"/>
            </w:tcMar>
            <w:vAlign w:val="center"/>
          </w:tcPr>
          <w:p>
            <w:r>
              <w:rPr>
                <w:rFonts w:ascii="Liberation Sans" w:hAnsi="Liberation Sans"/>
                <w:color w:val="1C2430"/>
                <w:sz w:val="16"/>
              </w:rPr>
              <w:t>Electrophysiology, perfusion, behavioral/organ endpoints</w:t>
            </w:r>
          </w:p>
        </w:tc>
      </w:tr>
    </w:tbl>
    <w:p>
      <w:pPr>
        <w:spacing w:after="20"/>
      </w:pPr>
    </w:p>
    <w:p>
      <w:r>
        <w:t>Radiation sterilization can improve microbial or macroscopic preservation while simultaneously reducing cellular viability. Therefore “does not rot” is not evidence that a tissue remains alive.</w:t>
      </w:r>
    </w:p>
    <w:p>
      <w:pPr>
        <w:pStyle w:val="Heading1"/>
      </w:pPr>
      <w:r>
        <w:t>6. Cross-species evidence</w:t>
      </w:r>
    </w:p>
    <w:p>
      <w:pPr>
        <w:pStyle w:val="Heading2"/>
      </w:pPr>
      <w:r>
        <w:t>6.1 Bacteria and microorganisms</w:t>
      </w:r>
    </w:p>
    <w:p>
      <w:r>
        <w:t>Proton irradiation can kill bacteria and other microorganisms. This is relevant to preservation because reducing microbial burden can slow decomposition, but biologically it is the opposite of preserving the microorganisms themselves. Some spores and species show substantial radiation resistance, which demonstrates heterogeneity of survival rather than immortality.</w:t>
      </w:r>
    </w:p>
    <w:p>
      <w:pPr>
        <w:pStyle w:val="Heading2"/>
      </w:pPr>
      <w:r>
        <w:t>6.2 Mammalian cell cultures</w:t>
      </w:r>
    </w:p>
    <w:p>
      <w:r>
        <w:t>High-energy proton transmission studies show dose-dependent effects on clonogenic survival and metabolic viability. The 2026 transmission-beam study found behavior close to photon-like low-LET irradiation rather than a distinct “high-energy preservation” state [B2].</w:t>
      </w:r>
    </w:p>
    <w:p>
      <w:pPr>
        <w:pStyle w:val="Heading2"/>
      </w:pPr>
      <w:r>
        <w:t>6.3 Animal tissues</w:t>
      </w:r>
    </w:p>
    <w:p>
      <w:r>
        <w:t>Animal studies are the decisive bridge between isolated cells and intact tissues. Conventional proton or photon irradiation can cause dermatitis, necrosis, neuroinflammation and fibrosis. However, spatial fractionation and FLASH can strongly modify those endpoints. This is where the research found the most robust positive signal.</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1944"/>
            <w:shd w:fill="17365D"/>
            <w:tcMar>
              <w:top w:w="80" w:type="dxa"/>
              <w:start w:w="90" w:type="dxa"/>
              <w:bottom w:w="80" w:type="dxa"/>
              <w:end w:w="90" w:type="dxa"/>
            </w:tcMar>
          </w:tcPr>
          <w:p>
            <w:pPr>
              <w:jc w:val="center"/>
            </w:pPr>
            <w:r>
              <w:rPr>
                <w:rFonts w:ascii="Liberation Sans" w:hAnsi="Liberation Sans"/>
                <w:b/>
                <w:color w:val="FFFFFF"/>
                <w:sz w:val="16"/>
              </w:rPr>
              <w:t>Model</w:t>
            </w:r>
          </w:p>
        </w:tc>
        <w:tc>
          <w:tcPr>
            <w:tcW w:type="dxa" w:w="3096"/>
            <w:shd w:fill="17365D"/>
            <w:tcMar>
              <w:top w:w="80" w:type="dxa"/>
              <w:start w:w="90" w:type="dxa"/>
              <w:bottom w:w="80" w:type="dxa"/>
              <w:end w:w="90" w:type="dxa"/>
            </w:tcMar>
          </w:tcPr>
          <w:p>
            <w:pPr>
              <w:jc w:val="center"/>
            </w:pPr>
            <w:r>
              <w:rPr>
                <w:rFonts w:ascii="Liberation Sans" w:hAnsi="Liberation Sans"/>
                <w:b/>
                <w:color w:val="FFFFFF"/>
                <w:sz w:val="16"/>
              </w:rPr>
              <w:t>Key comparison</w:t>
            </w:r>
          </w:p>
        </w:tc>
        <w:tc>
          <w:tcPr>
            <w:tcW w:type="dxa" w:w="4320"/>
            <w:shd w:fill="17365D"/>
            <w:tcMar>
              <w:top w:w="80" w:type="dxa"/>
              <w:start w:w="90" w:type="dxa"/>
              <w:bottom w:w="80" w:type="dxa"/>
              <w:end w:w="90" w:type="dxa"/>
            </w:tcMar>
          </w:tcPr>
          <w:p>
            <w:pPr>
              <w:jc w:val="center"/>
            </w:pPr>
            <w:r>
              <w:rPr>
                <w:rFonts w:ascii="Liberation Sans" w:hAnsi="Liberation Sans"/>
                <w:b/>
                <w:color w:val="FFFFFF"/>
                <w:sz w:val="16"/>
              </w:rPr>
              <w:t>Observed tissue-level result</w:t>
            </w:r>
          </w:p>
        </w:tc>
      </w:tr>
      <w:tr>
        <w:trPr>
          <w:cantSplit w:val="true"/>
        </w:trPr>
        <w:tc>
          <w:tcPr>
            <w:tcW w:type="dxa" w:w="1944"/>
            <w:tcMar>
              <w:top w:w="80" w:type="dxa"/>
              <w:start w:w="90" w:type="dxa"/>
              <w:bottom w:w="80" w:type="dxa"/>
              <w:end w:w="90" w:type="dxa"/>
            </w:tcMar>
            <w:vAlign w:val="center"/>
          </w:tcPr>
          <w:p>
            <w:r>
              <w:rPr>
                <w:rFonts w:ascii="Liberation Sans" w:hAnsi="Liberation Sans"/>
                <w:color w:val="1C2430"/>
                <w:sz w:val="16"/>
              </w:rPr>
              <w:t>Rat brain pMBRT</w:t>
            </w:r>
          </w:p>
        </w:tc>
        <w:tc>
          <w:tcPr>
            <w:tcW w:type="dxa" w:w="3096"/>
            <w:tcMar>
              <w:top w:w="80" w:type="dxa"/>
              <w:start w:w="90" w:type="dxa"/>
              <w:bottom w:w="80" w:type="dxa"/>
              <w:end w:w="90" w:type="dxa"/>
            </w:tcMar>
            <w:vAlign w:val="center"/>
          </w:tcPr>
          <w:p>
            <w:r>
              <w:rPr>
                <w:rFonts w:ascii="Liberation Sans" w:hAnsi="Liberation Sans"/>
                <w:color w:val="1C2430"/>
                <w:sz w:val="16"/>
              </w:rPr>
              <w:t>Same average dose: 25 Gy conventional vs spatially fractionated minibeams</w:t>
            </w:r>
          </w:p>
        </w:tc>
        <w:tc>
          <w:tcPr>
            <w:tcW w:type="dxa" w:w="4320"/>
            <w:tcMar>
              <w:top w:w="80" w:type="dxa"/>
              <w:start w:w="90" w:type="dxa"/>
              <w:bottom w:w="80" w:type="dxa"/>
              <w:end w:w="90" w:type="dxa"/>
            </w:tcMar>
            <w:vAlign w:val="center"/>
          </w:tcPr>
          <w:p>
            <w:r>
              <w:rPr>
                <w:rFonts w:ascii="Liberation Sans" w:hAnsi="Liberation Sans"/>
                <w:color w:val="1C2430"/>
                <w:sz w:val="16"/>
              </w:rPr>
              <w:t>Conventional group showed severe skin/brain injury; pMBRT group had dramatically reduced injury [B3].</w:t>
            </w:r>
          </w:p>
        </w:tc>
      </w:tr>
      <w:tr>
        <w:trPr>
          <w:cantSplit w:val="true"/>
        </w:trPr>
        <w:tc>
          <w:tcPr>
            <w:tcW w:type="dxa" w:w="1944"/>
            <w:tcMar>
              <w:top w:w="80" w:type="dxa"/>
              <w:start w:w="90" w:type="dxa"/>
              <w:bottom w:w="80" w:type="dxa"/>
              <w:end w:w="90" w:type="dxa"/>
            </w:tcMar>
            <w:vAlign w:val="center"/>
          </w:tcPr>
          <w:p>
            <w:r>
              <w:rPr>
                <w:rFonts w:ascii="Liberation Sans" w:hAnsi="Liberation Sans"/>
                <w:color w:val="1C2430"/>
                <w:sz w:val="16"/>
              </w:rPr>
              <w:t>Mouse ear minibeams</w:t>
            </w:r>
          </w:p>
        </w:tc>
        <w:tc>
          <w:tcPr>
            <w:tcW w:type="dxa" w:w="3096"/>
            <w:tcMar>
              <w:top w:w="80" w:type="dxa"/>
              <w:start w:w="90" w:type="dxa"/>
              <w:bottom w:w="80" w:type="dxa"/>
              <w:end w:w="90" w:type="dxa"/>
            </w:tcMar>
            <w:vAlign w:val="center"/>
          </w:tcPr>
          <w:p>
            <w:r>
              <w:rPr>
                <w:rFonts w:ascii="Liberation Sans" w:hAnsi="Liberation Sans"/>
                <w:color w:val="1C2430"/>
                <w:sz w:val="16"/>
              </w:rPr>
              <w:t>Beam size varied while geometry/dose framework was controlled</w:t>
            </w:r>
          </w:p>
        </w:tc>
        <w:tc>
          <w:tcPr>
            <w:tcW w:type="dxa" w:w="4320"/>
            <w:tcMar>
              <w:top w:w="80" w:type="dxa"/>
              <w:start w:w="90" w:type="dxa"/>
              <w:bottom w:w="80" w:type="dxa"/>
              <w:end w:w="90" w:type="dxa"/>
            </w:tcMar>
            <w:vAlign w:val="center"/>
          </w:tcPr>
          <w:p>
            <w:r>
              <w:rPr>
                <w:rFonts w:ascii="Liberation Sans" w:hAnsi="Liberation Sans"/>
                <w:color w:val="1C2430"/>
                <w:sz w:val="16"/>
              </w:rPr>
              <w:t>Smaller beam-size/spacing ratio produced much less swelling and skin reaction [B4].</w:t>
            </w:r>
          </w:p>
        </w:tc>
      </w:tr>
      <w:tr>
        <w:trPr>
          <w:cantSplit w:val="true"/>
        </w:trPr>
        <w:tc>
          <w:tcPr>
            <w:tcW w:type="dxa" w:w="1944"/>
            <w:tcMar>
              <w:top w:w="80" w:type="dxa"/>
              <w:start w:w="90" w:type="dxa"/>
              <w:bottom w:w="80" w:type="dxa"/>
              <w:end w:w="90" w:type="dxa"/>
            </w:tcMar>
            <w:vAlign w:val="center"/>
          </w:tcPr>
          <w:p>
            <w:r>
              <w:rPr>
                <w:rFonts w:ascii="Liberation Sans" w:hAnsi="Liberation Sans"/>
                <w:color w:val="1C2430"/>
                <w:sz w:val="16"/>
              </w:rPr>
              <w:t>Rat lung FLASH microbeams</w:t>
            </w:r>
          </w:p>
        </w:tc>
        <w:tc>
          <w:tcPr>
            <w:tcW w:type="dxa" w:w="3096"/>
            <w:tcMar>
              <w:top w:w="80" w:type="dxa"/>
              <w:start w:w="90" w:type="dxa"/>
              <w:bottom w:w="80" w:type="dxa"/>
              <w:end w:w="90" w:type="dxa"/>
            </w:tcMar>
            <w:vAlign w:val="center"/>
          </w:tcPr>
          <w:p>
            <w:r>
              <w:rPr>
                <w:rFonts w:ascii="Liberation Sans" w:hAnsi="Liberation Sans"/>
                <w:color w:val="1C2430"/>
                <w:sz w:val="16"/>
              </w:rPr>
              <w:t>50 µm vs 500 µm microbeams and broad beam</w:t>
            </w:r>
          </w:p>
        </w:tc>
        <w:tc>
          <w:tcPr>
            <w:tcW w:type="dxa" w:w="4320"/>
            <w:tcMar>
              <w:top w:w="80" w:type="dxa"/>
              <w:start w:w="90" w:type="dxa"/>
              <w:bottom w:w="80" w:type="dxa"/>
              <w:end w:w="90" w:type="dxa"/>
            </w:tcMar>
            <w:vAlign w:val="center"/>
          </w:tcPr>
          <w:p>
            <w:r>
              <w:rPr>
                <w:rFonts w:ascii="Liberation Sans" w:hAnsi="Liberation Sans"/>
                <w:color w:val="1C2430"/>
                <w:sz w:val="16"/>
              </w:rPr>
              <w:t>50 µm tracks tolerated much larger peak doses with far less fibrosis than broad or wider tracks [B5].</w:t>
            </w:r>
          </w:p>
        </w:tc>
      </w:tr>
      <w:tr>
        <w:trPr>
          <w:cantSplit w:val="true"/>
        </w:trPr>
        <w:tc>
          <w:tcPr>
            <w:tcW w:type="dxa" w:w="1944"/>
            <w:tcMar>
              <w:top w:w="80" w:type="dxa"/>
              <w:start w:w="90" w:type="dxa"/>
              <w:bottom w:w="80" w:type="dxa"/>
              <w:end w:w="90" w:type="dxa"/>
            </w:tcMar>
            <w:vAlign w:val="center"/>
          </w:tcPr>
          <w:p>
            <w:r>
              <w:rPr>
                <w:rFonts w:ascii="Liberation Sans" w:hAnsi="Liberation Sans"/>
                <w:color w:val="1C2430"/>
                <w:sz w:val="16"/>
              </w:rPr>
              <w:t>Mouse proton FLASH</w:t>
            </w:r>
          </w:p>
        </w:tc>
        <w:tc>
          <w:tcPr>
            <w:tcW w:type="dxa" w:w="3096"/>
            <w:tcMar>
              <w:top w:w="80" w:type="dxa"/>
              <w:start w:w="90" w:type="dxa"/>
              <w:bottom w:w="80" w:type="dxa"/>
              <w:end w:w="90" w:type="dxa"/>
            </w:tcMar>
            <w:vAlign w:val="center"/>
          </w:tcPr>
          <w:p>
            <w:r>
              <w:rPr>
                <w:rFonts w:ascii="Liberation Sans" w:hAnsi="Liberation Sans"/>
                <w:color w:val="1C2430"/>
                <w:sz w:val="16"/>
              </w:rPr>
              <w:t>FLASH vs conventional dose-rate</w:t>
            </w:r>
          </w:p>
        </w:tc>
        <w:tc>
          <w:tcPr>
            <w:tcW w:type="dxa" w:w="4320"/>
            <w:tcMar>
              <w:top w:w="80" w:type="dxa"/>
              <w:start w:w="90" w:type="dxa"/>
              <w:bottom w:w="80" w:type="dxa"/>
              <w:end w:w="90" w:type="dxa"/>
            </w:tcMar>
            <w:vAlign w:val="center"/>
          </w:tcPr>
          <w:p>
            <w:r>
              <w:rPr>
                <w:rFonts w:ascii="Liberation Sans" w:hAnsi="Liberation Sans"/>
                <w:color w:val="1C2430"/>
                <w:sz w:val="16"/>
              </w:rPr>
              <w:t>Reduced acute skin damage and fibrosis with similar tumor control in the studied model [B7].</w:t>
            </w:r>
          </w:p>
        </w:tc>
      </w:tr>
    </w:tbl>
    <w:p>
      <w:pPr>
        <w:spacing w:after="20"/>
      </w:pPr>
    </w:p>
    <w:p>
      <w:pPr>
        <w:pStyle w:val="Heading1"/>
      </w:pPr>
      <w:r>
        <w:t>7. Very high local dose + very small volume</w:t>
      </w:r>
    </w:p>
    <w:p>
      <w:r>
        <w:t>The most productive reformulation of the entire case was: what happens when the local peak dose is enormous but the irradiated volume is microscopic? Spatially fractionated radiation experiments directly address this question.</w:t>
      </w:r>
    </w:p>
    <w:p>
      <w:pPr>
        <w:pStyle w:val="Heading2"/>
      </w:pPr>
      <w:r>
        <w:t>7.1 Rat brain proton minibeams</w:t>
      </w:r>
    </w:p>
    <w:p>
      <w:r>
        <w:t>In a published rat-brain experiment, conventional proton irradiation and proton minibeam radiation therapy delivered the same average dose of 25 ± 1 Gy at 1 cm depth. The minibeam distribution had a peak around 57 ± 3 Gy. Conventional irradiation produced severe skin injury and substantial long-term brain damage, whereas the pMBRT group showed no skin damage and markedly reduced brain pathology [B3].</w:t>
      </w:r>
    </w:p>
    <w:p>
      <w:pPr>
        <w:pStyle w:val="Heading2"/>
      </w:pPr>
      <w:r>
        <w:t>7.2 Mouse ear beam-size experiment</w:t>
      </w:r>
    </w:p>
    <w:p>
      <w:r>
        <w:t>When proton pencil-minibeam dimensions were varied, tissue sparing improved as the beam-size-to-spacing ratio decreased. The smallest patterns were close to sham response, while the most homogeneous pattern produced the strongest swelling and skin toxicity. The authors explicitly linked smaller beam size and larger peak-to-valley contrast to better healthy-tissue sparing [B4].</w:t>
      </w:r>
    </w:p>
    <w:p>
      <w:pPr>
        <w:pStyle w:val="Heading2"/>
      </w:pPr>
      <w:r>
        <w:t>7.3 Rat lung: the scale-symmetry break</w:t>
      </w:r>
    </w:p>
    <w:p>
      <w:r>
        <w:t>The rat-lung FLASH microbeam data provided the clearest hidden pattern. A 50 µm beam on 400 µm pitch and a 500 µm beam on 4000 µm pitch both cover 12.5% of the repeating geometry. If only the percentage of tissue outside the peaks mattered, scaling both dimensions by 10× should produce similar behavior. It did not.</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blHeader w:val="true"/>
          <w:cantSplit w:val="true"/>
        </w:trPr>
        <w:tc>
          <w:tcPr>
            <w:tcW w:type="dxa" w:w="1800"/>
            <w:shd w:fill="17365D"/>
            <w:tcMar>
              <w:top w:w="80" w:type="dxa"/>
              <w:start w:w="90" w:type="dxa"/>
              <w:bottom w:w="80" w:type="dxa"/>
              <w:end w:w="90" w:type="dxa"/>
            </w:tcMar>
          </w:tcPr>
          <w:p>
            <w:pPr>
              <w:jc w:val="center"/>
            </w:pPr>
            <w:r>
              <w:rPr>
                <w:rFonts w:ascii="Liberation Sans" w:hAnsi="Liberation Sans"/>
                <w:b/>
                <w:color w:val="FFFFFF"/>
                <w:sz w:val="15"/>
              </w:rPr>
              <w:t>Approx. peak at depth</w:t>
            </w:r>
          </w:p>
        </w:tc>
        <w:tc>
          <w:tcPr>
            <w:tcW w:type="dxa" w:w="2664"/>
            <w:shd w:fill="17365D"/>
            <w:tcMar>
              <w:top w:w="80" w:type="dxa"/>
              <w:start w:w="90" w:type="dxa"/>
              <w:bottom w:w="80" w:type="dxa"/>
              <w:end w:w="90" w:type="dxa"/>
            </w:tcMar>
          </w:tcPr>
          <w:p>
            <w:pPr>
              <w:jc w:val="center"/>
            </w:pPr>
            <w:r>
              <w:rPr>
                <w:rFonts w:ascii="Liberation Sans" w:hAnsi="Liberation Sans"/>
                <w:b/>
                <w:color w:val="FFFFFF"/>
                <w:sz w:val="15"/>
              </w:rPr>
              <w:t>50 µm geometry</w:t>
            </w:r>
          </w:p>
        </w:tc>
        <w:tc>
          <w:tcPr>
            <w:tcW w:type="dxa" w:w="2664"/>
            <w:shd w:fill="17365D"/>
            <w:tcMar>
              <w:top w:w="80" w:type="dxa"/>
              <w:start w:w="90" w:type="dxa"/>
              <w:bottom w:w="80" w:type="dxa"/>
              <w:end w:w="90" w:type="dxa"/>
            </w:tcMar>
          </w:tcPr>
          <w:p>
            <w:pPr>
              <w:jc w:val="center"/>
            </w:pPr>
            <w:r>
              <w:rPr>
                <w:rFonts w:ascii="Liberation Sans" w:hAnsi="Liberation Sans"/>
                <w:b/>
                <w:color w:val="FFFFFF"/>
                <w:sz w:val="15"/>
              </w:rPr>
              <w:t>500 µm geometry</w:t>
            </w:r>
          </w:p>
        </w:tc>
        <w:tc>
          <w:tcPr>
            <w:tcW w:type="dxa" w:w="2232"/>
            <w:shd w:fill="17365D"/>
            <w:tcMar>
              <w:top w:w="80" w:type="dxa"/>
              <w:start w:w="90" w:type="dxa"/>
              <w:bottom w:w="80" w:type="dxa"/>
              <w:end w:w="90" w:type="dxa"/>
            </w:tcMar>
          </w:tcPr>
          <w:p>
            <w:pPr>
              <w:jc w:val="center"/>
            </w:pPr>
            <w:r>
              <w:rPr>
                <w:rFonts w:ascii="Liberation Sans" w:hAnsi="Liberation Sans"/>
                <w:b/>
                <w:color w:val="FFFFFF"/>
                <w:sz w:val="15"/>
              </w:rPr>
              <w:t>Interpretation</w:t>
            </w:r>
          </w:p>
        </w:tc>
      </w:tr>
      <w:tr>
        <w:trPr>
          <w:cantSplit w:val="true"/>
        </w:trPr>
        <w:tc>
          <w:tcPr>
            <w:tcW w:type="dxa" w:w="1800"/>
            <w:tcMar>
              <w:top w:w="80" w:type="dxa"/>
              <w:start w:w="90" w:type="dxa"/>
              <w:bottom w:w="80" w:type="dxa"/>
              <w:end w:w="90" w:type="dxa"/>
            </w:tcMar>
            <w:vAlign w:val="center"/>
          </w:tcPr>
          <w:p>
            <w:r>
              <w:rPr>
                <w:rFonts w:ascii="Liberation Sans" w:hAnsi="Liberation Sans"/>
                <w:color w:val="1C2430"/>
                <w:sz w:val="15"/>
              </w:rPr>
              <w:t>~250 Gy</w:t>
            </w:r>
          </w:p>
        </w:tc>
        <w:tc>
          <w:tcPr>
            <w:tcW w:type="dxa" w:w="2664"/>
            <w:tcMar>
              <w:top w:w="80" w:type="dxa"/>
              <w:start w:w="90" w:type="dxa"/>
              <w:bottom w:w="80" w:type="dxa"/>
              <w:end w:w="90" w:type="dxa"/>
            </w:tcMar>
            <w:vAlign w:val="center"/>
          </w:tcPr>
          <w:p>
            <w:r>
              <w:rPr>
                <w:rFonts w:ascii="Liberation Sans" w:hAnsi="Liberation Sans"/>
                <w:color w:val="1C2430"/>
                <w:sz w:val="15"/>
              </w:rPr>
              <w:t>Peak 244 Gy; valley 5.94 Gy; fibrosis ≈1.5</w:t>
            </w:r>
          </w:p>
        </w:tc>
        <w:tc>
          <w:tcPr>
            <w:tcW w:type="dxa" w:w="2664"/>
            <w:tcMar>
              <w:top w:w="80" w:type="dxa"/>
              <w:start w:w="90" w:type="dxa"/>
              <w:bottom w:w="80" w:type="dxa"/>
              <w:end w:w="90" w:type="dxa"/>
            </w:tcMar>
            <w:vAlign w:val="center"/>
          </w:tcPr>
          <w:p>
            <w:r>
              <w:rPr>
                <w:rFonts w:ascii="Liberation Sans" w:hAnsi="Liberation Sans"/>
                <w:color w:val="1C2430"/>
                <w:sz w:val="15"/>
              </w:rPr>
              <w:t>Peak 254 Gy; valley 3.36 Gy; fibrosis ≈4.67</w:t>
            </w:r>
          </w:p>
        </w:tc>
        <w:tc>
          <w:tcPr>
            <w:tcW w:type="dxa" w:w="2232"/>
            <w:tcMar>
              <w:top w:w="80" w:type="dxa"/>
              <w:start w:w="90" w:type="dxa"/>
              <w:bottom w:w="80" w:type="dxa"/>
              <w:end w:w="90" w:type="dxa"/>
            </w:tcMar>
            <w:vAlign w:val="center"/>
          </w:tcPr>
          <w:p>
            <w:r>
              <w:rPr>
                <w:rFonts w:ascii="Liberation Sans" w:hAnsi="Liberation Sans"/>
                <w:color w:val="1C2430"/>
                <w:sz w:val="15"/>
              </w:rPr>
              <w:t>Wider track produced ~3.11× fibrosis despite LOWER valley dose.</w:t>
            </w:r>
          </w:p>
        </w:tc>
      </w:tr>
      <w:tr>
        <w:trPr>
          <w:cantSplit w:val="true"/>
        </w:trPr>
        <w:tc>
          <w:tcPr>
            <w:tcW w:type="dxa" w:w="1800"/>
            <w:tcMar>
              <w:top w:w="80" w:type="dxa"/>
              <w:start w:w="90" w:type="dxa"/>
              <w:bottom w:w="80" w:type="dxa"/>
              <w:end w:w="90" w:type="dxa"/>
            </w:tcMar>
            <w:vAlign w:val="center"/>
          </w:tcPr>
          <w:p>
            <w:r>
              <w:rPr>
                <w:rFonts w:ascii="Liberation Sans" w:hAnsi="Liberation Sans"/>
                <w:color w:val="1C2430"/>
                <w:sz w:val="15"/>
              </w:rPr>
              <w:t>~500 Gy</w:t>
            </w:r>
          </w:p>
        </w:tc>
        <w:tc>
          <w:tcPr>
            <w:tcW w:type="dxa" w:w="2664"/>
            <w:tcMar>
              <w:top w:w="80" w:type="dxa"/>
              <w:start w:w="90" w:type="dxa"/>
              <w:bottom w:w="80" w:type="dxa"/>
              <w:end w:w="90" w:type="dxa"/>
            </w:tcMar>
            <w:vAlign w:val="center"/>
          </w:tcPr>
          <w:p>
            <w:r>
              <w:rPr>
                <w:rFonts w:ascii="Liberation Sans" w:hAnsi="Liberation Sans"/>
                <w:color w:val="1C2430"/>
                <w:sz w:val="15"/>
              </w:rPr>
              <w:t>Peak 488 Gy; valley 11.9 Gy; fibrosis ≈2.25</w:t>
            </w:r>
          </w:p>
        </w:tc>
        <w:tc>
          <w:tcPr>
            <w:tcW w:type="dxa" w:w="2664"/>
            <w:tcMar>
              <w:top w:w="80" w:type="dxa"/>
              <w:start w:w="90" w:type="dxa"/>
              <w:bottom w:w="80" w:type="dxa"/>
              <w:end w:w="90" w:type="dxa"/>
            </w:tcMar>
            <w:vAlign w:val="center"/>
          </w:tcPr>
          <w:p>
            <w:r>
              <w:rPr>
                <w:rFonts w:ascii="Liberation Sans" w:hAnsi="Liberation Sans"/>
                <w:color w:val="1C2430"/>
                <w:sz w:val="15"/>
              </w:rPr>
              <w:t>Peak 509 Gy; valley 6.72 Gy; fibrosis ≈4.0</w:t>
            </w:r>
          </w:p>
        </w:tc>
        <w:tc>
          <w:tcPr>
            <w:tcW w:type="dxa" w:w="2232"/>
            <w:tcMar>
              <w:top w:w="80" w:type="dxa"/>
              <w:start w:w="90" w:type="dxa"/>
              <w:bottom w:w="80" w:type="dxa"/>
              <w:end w:w="90" w:type="dxa"/>
            </w:tcMar>
            <w:vAlign w:val="center"/>
          </w:tcPr>
          <w:p>
            <w:r>
              <w:rPr>
                <w:rFonts w:ascii="Liberation Sans" w:hAnsi="Liberation Sans"/>
                <w:color w:val="1C2430"/>
                <w:sz w:val="15"/>
              </w:rPr>
              <w:t>Wider track produced ~1.78× fibrosis despite LOWER valley dose.</w:t>
            </w:r>
          </w:p>
        </w:tc>
      </w:tr>
    </w:tbl>
    <w:p>
      <w:pPr>
        <w:spacing w:after="20"/>
      </w:pPr>
    </w:p>
    <w:p>
      <w:r>
        <w:t>This breaks a simple “fraction spared” model and supports an absolute repair-distance or functional-unit scale: a damaged band can become too wide for neighboring viable tissue and microvasculature to bridge efficiently.</w:t>
      </w:r>
    </w:p>
    <w:p>
      <w:pPr>
        <w:pStyle w:val="Heading1"/>
      </w:pPr>
      <w:r>
        <w:t>8. Hidden-pattern simulation</w:t>
      </w:r>
    </w:p>
    <w:p>
      <w:r>
        <w:t>SCIENCE AI/Problem Solver constructed a literature-constrained heuristic sweep across 1,152 combinations of particle-energy class, absorbed dose, beam width and conventional/FLASH-like delivery. It was explicitly not a clinical predictor. The purpose was to test which variables dominate a tissue-injury surface when constrained by published microbeam and high-energy proton observations.</w:t>
      </w:r>
    </w:p>
    <w:tbl>
      <w:tblPr>
        <w:tblStyle w:val="TableGrid"/>
        <w:tblW w:type="auto" w:w="0"/>
        <w:jc w:val="center"/>
        <w:tblLayout w:type="fixed"/>
        <w:tblLook w:firstColumn="1" w:firstRow="1" w:lastColumn="0" w:lastRow="0" w:noHBand="0" w:noVBand="1" w:val="04A0"/>
      </w:tblPr>
      <w:tblGrid>
        <w:gridCol w:w="5040"/>
        <w:gridCol w:w="5040"/>
      </w:tblGrid>
      <w:tr>
        <w:trPr>
          <w:tblHeader w:val="true"/>
          <w:cantSplit w:val="true"/>
        </w:trPr>
        <w:tc>
          <w:tcPr>
            <w:tcW w:type="dxa" w:w="5328"/>
            <w:shd w:fill="17365D"/>
            <w:tcMar>
              <w:top w:w="80" w:type="dxa"/>
              <w:start w:w="90" w:type="dxa"/>
              <w:bottom w:w="80" w:type="dxa"/>
              <w:end w:w="90" w:type="dxa"/>
            </w:tcMar>
          </w:tcPr>
          <w:p>
            <w:pPr>
              <w:jc w:val="center"/>
            </w:pPr>
            <w:r>
              <w:rPr>
                <w:rFonts w:ascii="Liberation Sans" w:hAnsi="Liberation Sans"/>
                <w:b/>
                <w:color w:val="FFFFFF"/>
                <w:sz w:val="17"/>
              </w:rPr>
              <w:t>Variable</w:t>
            </w:r>
          </w:p>
        </w:tc>
        <w:tc>
          <w:tcPr>
            <w:tcW w:type="dxa" w:w="4032"/>
            <w:shd w:fill="17365D"/>
            <w:tcMar>
              <w:top w:w="80" w:type="dxa"/>
              <w:start w:w="90" w:type="dxa"/>
              <w:bottom w:w="80" w:type="dxa"/>
              <w:end w:w="90" w:type="dxa"/>
            </w:tcMar>
          </w:tcPr>
          <w:p>
            <w:pPr>
              <w:jc w:val="center"/>
            </w:pPr>
            <w:r>
              <w:rPr>
                <w:rFonts w:ascii="Liberation Sans" w:hAnsi="Liberation Sans"/>
                <w:b/>
                <w:color w:val="FFFFFF"/>
                <w:sz w:val="17"/>
              </w:rPr>
              <w:t>Exploratory correlation with injury</w:t>
            </w:r>
          </w:p>
        </w:tc>
      </w:tr>
      <w:tr>
        <w:trPr>
          <w:cantSplit w:val="true"/>
        </w:trPr>
        <w:tc>
          <w:tcPr>
            <w:tcW w:type="dxa" w:w="5328"/>
            <w:tcMar>
              <w:top w:w="80" w:type="dxa"/>
              <w:start w:w="90" w:type="dxa"/>
              <w:bottom w:w="80" w:type="dxa"/>
              <w:end w:w="90" w:type="dxa"/>
            </w:tcMar>
            <w:vAlign w:val="center"/>
          </w:tcPr>
          <w:p>
            <w:r>
              <w:rPr>
                <w:rFonts w:ascii="Liberation Sans" w:hAnsi="Liberation Sans"/>
                <w:color w:val="1C2430"/>
                <w:sz w:val="17"/>
              </w:rPr>
              <w:t>log10(absorbed dose)</w:t>
            </w:r>
          </w:p>
        </w:tc>
        <w:tc>
          <w:tcPr>
            <w:tcW w:type="dxa" w:w="4032"/>
            <w:tcMar>
              <w:top w:w="80" w:type="dxa"/>
              <w:start w:w="90" w:type="dxa"/>
              <w:bottom w:w="80" w:type="dxa"/>
              <w:end w:w="90" w:type="dxa"/>
            </w:tcMar>
            <w:vAlign w:val="center"/>
          </w:tcPr>
          <w:p>
            <w:r>
              <w:rPr>
                <w:rFonts w:ascii="Liberation Sans" w:hAnsi="Liberation Sans"/>
                <w:color w:val="1C2430"/>
                <w:sz w:val="17"/>
              </w:rPr>
              <w:t>+0.635</w:t>
            </w:r>
          </w:p>
        </w:tc>
      </w:tr>
      <w:tr>
        <w:trPr>
          <w:cantSplit w:val="true"/>
        </w:trPr>
        <w:tc>
          <w:tcPr>
            <w:tcW w:type="dxa" w:w="5328"/>
            <w:tcMar>
              <w:top w:w="80" w:type="dxa"/>
              <w:start w:w="90" w:type="dxa"/>
              <w:bottom w:w="80" w:type="dxa"/>
              <w:end w:w="90" w:type="dxa"/>
            </w:tcMar>
            <w:vAlign w:val="center"/>
          </w:tcPr>
          <w:p>
            <w:r>
              <w:rPr>
                <w:rFonts w:ascii="Liberation Sans" w:hAnsi="Liberation Sans"/>
                <w:color w:val="1C2430"/>
                <w:sz w:val="17"/>
              </w:rPr>
              <w:t>log10(beam width)</w:t>
            </w:r>
          </w:p>
        </w:tc>
        <w:tc>
          <w:tcPr>
            <w:tcW w:type="dxa" w:w="4032"/>
            <w:tcMar>
              <w:top w:w="80" w:type="dxa"/>
              <w:start w:w="90" w:type="dxa"/>
              <w:bottom w:w="80" w:type="dxa"/>
              <w:end w:w="90" w:type="dxa"/>
            </w:tcMar>
            <w:vAlign w:val="center"/>
          </w:tcPr>
          <w:p>
            <w:r>
              <w:rPr>
                <w:rFonts w:ascii="Liberation Sans" w:hAnsi="Liberation Sans"/>
                <w:color w:val="1C2430"/>
                <w:sz w:val="17"/>
              </w:rPr>
              <w:t>+0.494</w:t>
            </w:r>
          </w:p>
        </w:tc>
      </w:tr>
      <w:tr>
        <w:trPr>
          <w:cantSplit w:val="true"/>
        </w:trPr>
        <w:tc>
          <w:tcPr>
            <w:tcW w:type="dxa" w:w="5328"/>
            <w:tcMar>
              <w:top w:w="80" w:type="dxa"/>
              <w:start w:w="90" w:type="dxa"/>
              <w:bottom w:w="80" w:type="dxa"/>
              <w:end w:w="90" w:type="dxa"/>
            </w:tcMar>
            <w:vAlign w:val="center"/>
          </w:tcPr>
          <w:p>
            <w:r>
              <w:rPr>
                <w:rFonts w:ascii="Liberation Sans" w:hAnsi="Liberation Sans"/>
                <w:color w:val="1C2430"/>
                <w:sz w:val="17"/>
              </w:rPr>
              <w:t>log10(particle energy)</w:t>
            </w:r>
          </w:p>
        </w:tc>
        <w:tc>
          <w:tcPr>
            <w:tcW w:type="dxa" w:w="4032"/>
            <w:tcMar>
              <w:top w:w="80" w:type="dxa"/>
              <w:start w:w="90" w:type="dxa"/>
              <w:bottom w:w="80" w:type="dxa"/>
              <w:end w:w="90" w:type="dxa"/>
            </w:tcMar>
            <w:vAlign w:val="center"/>
          </w:tcPr>
          <w:p>
            <w:r>
              <w:rPr>
                <w:rFonts w:ascii="Liberation Sans" w:hAnsi="Liberation Sans"/>
                <w:color w:val="1C2430"/>
                <w:sz w:val="17"/>
              </w:rPr>
              <w:t>−0.005</w:t>
            </w:r>
          </w:p>
        </w:tc>
      </w:tr>
      <w:tr>
        <w:trPr>
          <w:cantSplit w:val="true"/>
        </w:trPr>
        <w:tc>
          <w:tcPr>
            <w:tcW w:type="dxa" w:w="5328"/>
            <w:tcMar>
              <w:top w:w="80" w:type="dxa"/>
              <w:start w:w="90" w:type="dxa"/>
              <w:bottom w:w="80" w:type="dxa"/>
              <w:end w:w="90" w:type="dxa"/>
            </w:tcMar>
            <w:vAlign w:val="center"/>
          </w:tcPr>
          <w:p>
            <w:r>
              <w:rPr>
                <w:rFonts w:ascii="Liberation Sans" w:hAnsi="Liberation Sans"/>
                <w:color w:val="1C2430"/>
                <w:sz w:val="17"/>
              </w:rPr>
              <w:t>FLASH-like mode</w:t>
            </w:r>
          </w:p>
        </w:tc>
        <w:tc>
          <w:tcPr>
            <w:tcW w:type="dxa" w:w="4032"/>
            <w:tcMar>
              <w:top w:w="80" w:type="dxa"/>
              <w:start w:w="90" w:type="dxa"/>
              <w:bottom w:w="80" w:type="dxa"/>
              <w:end w:w="90" w:type="dxa"/>
            </w:tcMar>
            <w:vAlign w:val="center"/>
          </w:tcPr>
          <w:p>
            <w:r>
              <w:rPr>
                <w:rFonts w:ascii="Liberation Sans" w:hAnsi="Liberation Sans"/>
                <w:color w:val="1C2430"/>
                <w:sz w:val="17"/>
              </w:rPr>
              <w:t>−0.081</w:t>
            </w:r>
          </w:p>
        </w:tc>
      </w:tr>
    </w:tbl>
    <w:p>
      <w:pPr>
        <w:spacing w:after="20"/>
      </w:pPr>
    </w:p>
    <w:p>
      <w:r>
        <w:t>The model’s strongest signal was that absorbed dose and absolute beam width dominated the injury surface; nominal proton energy contributed almost no independent effect within the imposed low-LET high-energy regime. The FLASH-like modifier shifted toxicity downward but did not generate a rejuvenation state.</w:t>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C75B12"/>
                <w:sz w:val="19"/>
              </w:rPr>
              <w:t xml:space="preserve">Important limitation — </w:t>
            </w:r>
            <w:r>
              <w:rPr>
                <w:rFonts w:ascii="Liberation Sans" w:hAnsi="Liberation Sans"/>
                <w:color w:val="1C2430"/>
                <w:sz w:val="19"/>
              </w:rPr>
              <w:t>These correlations are outputs of a small literature-constrained heuristic model, not coefficients estimated from a prospective biological dataset. They are useful for hypothesis ranking only.</w:t>
            </w:r>
          </w:p>
        </w:tc>
      </w:tr>
    </w:tbl>
    <w:p>
      <w:pPr>
        <w:spacing w:after="0"/>
      </w:pPr>
    </w:p>
    <w:p>
      <w:pPr>
        <w:pStyle w:val="Heading1"/>
      </w:pPr>
      <w:r>
        <w:t>9. Two-Gate Spatial Rescue</w:t>
      </w:r>
    </w:p>
    <w:p>
      <w:pPr>
        <w:pStyle w:val="Heading2"/>
      </w:pPr>
      <w:r>
        <w:t>9.1 Gate A — background/valley viability</w:t>
      </w:r>
    </w:p>
    <w:p>
      <w:r>
        <w:t>The tissue between peak tracks must remain biologically functional enough to maintain perfusion, structural continuity, immune function and a reservoir of viable repair-competent cells. Spatially fractionated radiotherapy reviews repeatedly identify valley dose as a major determinant of normal-tissue toxicity.</w:t>
      </w:r>
    </w:p>
    <w:p>
      <w:pPr>
        <w:pStyle w:val="Heading2"/>
      </w:pPr>
      <w:r>
        <w:t>9.2 Gate B — repair-distance / absolute damaged width</w:t>
      </w:r>
    </w:p>
    <w:p>
      <w:r>
        <w:t>Even a favorable valley is insufficient if the directly injured region becomes too wide. The rat-lung scale-symmetry break demonstrates this: the 500 µm track could be far more fibrotic than the 50 µm track despite the same fractional coverage and lower valley dose. The simplest interpretation is that there is an absolute spatial scale over which local repair, vascular bridging and repopulation remain effective.</w:t>
      </w:r>
    </w:p>
    <w:p>
      <w:pPr>
        <w:pStyle w:val="Equation"/>
        <w:jc w:val="center"/>
      </w:pPr>
      <w:r>
        <w:rPr>
          <w:rFonts w:ascii="Liberation Mono" w:hAnsi="Liberation Mono"/>
          <w:b w:val="0"/>
          <w:color w:val="1C2430"/>
          <w:sz w:val="18"/>
        </w:rPr>
        <w:t>Tissue rescue requires:  Valley viability PASS  AND  Repair-distance PASS</w:t>
      </w:r>
    </w:p>
    <w:p>
      <w:pPr>
        <w:pStyle w:val="Heading2"/>
      </w:pPr>
      <w:r>
        <w:t>9.3 Exploratory regression</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4320"/>
            <w:shd w:fill="17365D"/>
            <w:tcMar>
              <w:top w:w="80" w:type="dxa"/>
              <w:start w:w="90" w:type="dxa"/>
              <w:bottom w:w="80" w:type="dxa"/>
              <w:end w:w="90" w:type="dxa"/>
            </w:tcMar>
          </w:tcPr>
          <w:p>
            <w:pPr>
              <w:jc w:val="center"/>
            </w:pPr>
            <w:r>
              <w:rPr>
                <w:rFonts w:ascii="Liberation Sans" w:hAnsi="Liberation Sans"/>
                <w:b/>
                <w:color w:val="FFFFFF"/>
                <w:sz w:val="16"/>
              </w:rPr>
              <w:t>Model on 8 rat-lung points</w:t>
            </w:r>
          </w:p>
        </w:tc>
        <w:tc>
          <w:tcPr>
            <w:tcW w:type="dxa" w:w="2448"/>
            <w:shd w:fill="17365D"/>
            <w:tcMar>
              <w:top w:w="80" w:type="dxa"/>
              <w:start w:w="90" w:type="dxa"/>
              <w:bottom w:w="80" w:type="dxa"/>
              <w:end w:w="90" w:type="dxa"/>
            </w:tcMar>
          </w:tcPr>
          <w:p>
            <w:pPr>
              <w:jc w:val="center"/>
            </w:pPr>
            <w:r>
              <w:rPr>
                <w:rFonts w:ascii="Liberation Sans" w:hAnsi="Liberation Sans"/>
                <w:b/>
                <w:color w:val="FFFFFF"/>
                <w:sz w:val="16"/>
              </w:rPr>
              <w:t>In-sample R²</w:t>
            </w:r>
          </w:p>
        </w:tc>
        <w:tc>
          <w:tcPr>
            <w:tcW w:type="dxa" w:w="2592"/>
            <w:shd w:fill="17365D"/>
            <w:tcMar>
              <w:top w:w="80" w:type="dxa"/>
              <w:start w:w="90" w:type="dxa"/>
              <w:bottom w:w="80" w:type="dxa"/>
              <w:end w:w="90" w:type="dxa"/>
            </w:tcMar>
          </w:tcPr>
          <w:p>
            <w:pPr>
              <w:jc w:val="center"/>
            </w:pPr>
            <w:r>
              <w:rPr>
                <w:rFonts w:ascii="Liberation Sans" w:hAnsi="Liberation Sans"/>
                <w:b/>
                <w:color w:val="FFFFFF"/>
                <w:sz w:val="16"/>
              </w:rPr>
              <w:t>LOOCV RMSE</w:t>
            </w:r>
          </w:p>
        </w:tc>
      </w:tr>
      <w:tr>
        <w:trPr>
          <w:cantSplit w:val="true"/>
        </w:trPr>
        <w:tc>
          <w:tcPr>
            <w:tcW w:type="dxa" w:w="4320"/>
            <w:tcMar>
              <w:top w:w="80" w:type="dxa"/>
              <w:start w:w="90" w:type="dxa"/>
              <w:bottom w:w="80" w:type="dxa"/>
              <w:end w:w="90" w:type="dxa"/>
            </w:tcMar>
            <w:vAlign w:val="center"/>
          </w:tcPr>
          <w:p>
            <w:r>
              <w:rPr>
                <w:rFonts w:ascii="Liberation Sans" w:hAnsi="Liberation Sans"/>
                <w:color w:val="1C2430"/>
                <w:sz w:val="16"/>
              </w:rPr>
              <w:t>log(peak dose) only</w:t>
            </w:r>
          </w:p>
        </w:tc>
        <w:tc>
          <w:tcPr>
            <w:tcW w:type="dxa" w:w="2448"/>
            <w:tcMar>
              <w:top w:w="80" w:type="dxa"/>
              <w:start w:w="90" w:type="dxa"/>
              <w:bottom w:w="80" w:type="dxa"/>
              <w:end w:w="90" w:type="dxa"/>
            </w:tcMar>
            <w:vAlign w:val="center"/>
          </w:tcPr>
          <w:p>
            <w:r>
              <w:rPr>
                <w:rFonts w:ascii="Liberation Sans" w:hAnsi="Liberation Sans"/>
                <w:color w:val="1C2430"/>
                <w:sz w:val="16"/>
              </w:rPr>
              <w:t>0.581</w:t>
            </w:r>
          </w:p>
        </w:tc>
        <w:tc>
          <w:tcPr>
            <w:tcW w:type="dxa" w:w="2592"/>
            <w:tcMar>
              <w:top w:w="80" w:type="dxa"/>
              <w:start w:w="90" w:type="dxa"/>
              <w:bottom w:w="80" w:type="dxa"/>
              <w:end w:w="90" w:type="dxa"/>
            </w:tcMar>
            <w:vAlign w:val="center"/>
          </w:tcPr>
          <w:p>
            <w:r>
              <w:rPr>
                <w:rFonts w:ascii="Liberation Sans" w:hAnsi="Liberation Sans"/>
                <w:color w:val="1C2430"/>
                <w:sz w:val="16"/>
              </w:rPr>
              <w:t>1.252</w:t>
            </w:r>
          </w:p>
        </w:tc>
      </w:tr>
      <w:tr>
        <w:trPr>
          <w:cantSplit w:val="true"/>
        </w:trPr>
        <w:tc>
          <w:tcPr>
            <w:tcW w:type="dxa" w:w="4320"/>
            <w:tcMar>
              <w:top w:w="80" w:type="dxa"/>
              <w:start w:w="90" w:type="dxa"/>
              <w:bottom w:w="80" w:type="dxa"/>
              <w:end w:w="90" w:type="dxa"/>
            </w:tcMar>
            <w:vAlign w:val="center"/>
          </w:tcPr>
          <w:p>
            <w:r>
              <w:rPr>
                <w:rFonts w:ascii="Liberation Sans" w:hAnsi="Liberation Sans"/>
                <w:color w:val="1C2430"/>
                <w:sz w:val="16"/>
              </w:rPr>
              <w:t>log(valley dose) only</w:t>
            </w:r>
          </w:p>
        </w:tc>
        <w:tc>
          <w:tcPr>
            <w:tcW w:type="dxa" w:w="2448"/>
            <w:tcMar>
              <w:top w:w="80" w:type="dxa"/>
              <w:start w:w="90" w:type="dxa"/>
              <w:bottom w:w="80" w:type="dxa"/>
              <w:end w:w="90" w:type="dxa"/>
            </w:tcMar>
            <w:vAlign w:val="center"/>
          </w:tcPr>
          <w:p>
            <w:r>
              <w:rPr>
                <w:rFonts w:ascii="Liberation Sans" w:hAnsi="Liberation Sans"/>
                <w:color w:val="1C2430"/>
                <w:sz w:val="16"/>
              </w:rPr>
              <w:t>0.345</w:t>
            </w:r>
          </w:p>
        </w:tc>
        <w:tc>
          <w:tcPr>
            <w:tcW w:type="dxa" w:w="2592"/>
            <w:tcMar>
              <w:top w:w="80" w:type="dxa"/>
              <w:start w:w="90" w:type="dxa"/>
              <w:bottom w:w="80" w:type="dxa"/>
              <w:end w:w="90" w:type="dxa"/>
            </w:tcMar>
            <w:vAlign w:val="center"/>
          </w:tcPr>
          <w:p>
            <w:r>
              <w:rPr>
                <w:rFonts w:ascii="Liberation Sans" w:hAnsi="Liberation Sans"/>
                <w:color w:val="1C2430"/>
                <w:sz w:val="16"/>
              </w:rPr>
              <w:t>1.547</w:t>
            </w:r>
          </w:p>
        </w:tc>
      </w:tr>
      <w:tr>
        <w:trPr>
          <w:cantSplit w:val="true"/>
        </w:trPr>
        <w:tc>
          <w:tcPr>
            <w:tcW w:type="dxa" w:w="4320"/>
            <w:tcMar>
              <w:top w:w="80" w:type="dxa"/>
              <w:start w:w="90" w:type="dxa"/>
              <w:bottom w:w="80" w:type="dxa"/>
              <w:end w:w="90" w:type="dxa"/>
            </w:tcMar>
            <w:vAlign w:val="center"/>
          </w:tcPr>
          <w:p>
            <w:r>
              <w:rPr>
                <w:rFonts w:ascii="Liberation Sans" w:hAnsi="Liberation Sans"/>
                <w:color w:val="1C2430"/>
                <w:sz w:val="16"/>
              </w:rPr>
              <w:t>log(width) only</w:t>
            </w:r>
          </w:p>
        </w:tc>
        <w:tc>
          <w:tcPr>
            <w:tcW w:type="dxa" w:w="2448"/>
            <w:tcMar>
              <w:top w:w="80" w:type="dxa"/>
              <w:start w:w="90" w:type="dxa"/>
              <w:bottom w:w="80" w:type="dxa"/>
              <w:end w:w="90" w:type="dxa"/>
            </w:tcMar>
            <w:vAlign w:val="center"/>
          </w:tcPr>
          <w:p>
            <w:r>
              <w:rPr>
                <w:rFonts w:ascii="Liberation Sans" w:hAnsi="Liberation Sans"/>
                <w:color w:val="1C2430"/>
                <w:sz w:val="16"/>
              </w:rPr>
              <w:t>0.223</w:t>
            </w:r>
          </w:p>
        </w:tc>
        <w:tc>
          <w:tcPr>
            <w:tcW w:type="dxa" w:w="2592"/>
            <w:tcMar>
              <w:top w:w="80" w:type="dxa"/>
              <w:start w:w="90" w:type="dxa"/>
              <w:bottom w:w="80" w:type="dxa"/>
              <w:end w:w="90" w:type="dxa"/>
            </w:tcMar>
            <w:vAlign w:val="center"/>
          </w:tcPr>
          <w:p>
            <w:r>
              <w:rPr>
                <w:rFonts w:ascii="Liberation Sans" w:hAnsi="Liberation Sans"/>
                <w:color w:val="1C2430"/>
                <w:sz w:val="16"/>
              </w:rPr>
              <w:t>1.761</w:t>
            </w:r>
          </w:p>
        </w:tc>
      </w:tr>
      <w:tr>
        <w:trPr>
          <w:cantSplit w:val="true"/>
        </w:trPr>
        <w:tc>
          <w:tcPr>
            <w:tcW w:type="dxa" w:w="4320"/>
            <w:tcMar>
              <w:top w:w="80" w:type="dxa"/>
              <w:start w:w="90" w:type="dxa"/>
              <w:bottom w:w="80" w:type="dxa"/>
              <w:end w:w="90" w:type="dxa"/>
            </w:tcMar>
            <w:vAlign w:val="center"/>
          </w:tcPr>
          <w:p>
            <w:r>
              <w:rPr>
                <w:rFonts w:ascii="Liberation Sans" w:hAnsi="Liberation Sans"/>
                <w:color w:val="1C2430"/>
                <w:sz w:val="16"/>
              </w:rPr>
              <w:t>log(peak) + log(width)</w:t>
            </w:r>
          </w:p>
        </w:tc>
        <w:tc>
          <w:tcPr>
            <w:tcW w:type="dxa" w:w="2448"/>
            <w:tcMar>
              <w:top w:w="80" w:type="dxa"/>
              <w:start w:w="90" w:type="dxa"/>
              <w:bottom w:w="80" w:type="dxa"/>
              <w:end w:w="90" w:type="dxa"/>
            </w:tcMar>
            <w:vAlign w:val="center"/>
          </w:tcPr>
          <w:p>
            <w:r>
              <w:rPr>
                <w:rFonts w:ascii="Liberation Sans" w:hAnsi="Liberation Sans"/>
                <w:color w:val="1C2430"/>
                <w:sz w:val="16"/>
              </w:rPr>
              <w:t>0.790</w:t>
            </w:r>
          </w:p>
        </w:tc>
        <w:tc>
          <w:tcPr>
            <w:tcW w:type="dxa" w:w="2592"/>
            <w:tcMar>
              <w:top w:w="80" w:type="dxa"/>
              <w:start w:w="90" w:type="dxa"/>
              <w:bottom w:w="80" w:type="dxa"/>
              <w:end w:w="90" w:type="dxa"/>
            </w:tcMar>
            <w:vAlign w:val="center"/>
          </w:tcPr>
          <w:p>
            <w:r>
              <w:rPr>
                <w:rFonts w:ascii="Liberation Sans" w:hAnsi="Liberation Sans"/>
                <w:color w:val="1C2430"/>
                <w:sz w:val="16"/>
              </w:rPr>
              <w:t>0.996</w:t>
            </w:r>
          </w:p>
        </w:tc>
      </w:tr>
      <w:tr>
        <w:trPr>
          <w:cantSplit w:val="true"/>
        </w:trPr>
        <w:tc>
          <w:tcPr>
            <w:tcW w:type="dxa" w:w="4320"/>
            <w:tcMar>
              <w:top w:w="80" w:type="dxa"/>
              <w:start w:w="90" w:type="dxa"/>
              <w:bottom w:w="80" w:type="dxa"/>
              <w:end w:w="90" w:type="dxa"/>
            </w:tcMar>
            <w:vAlign w:val="center"/>
          </w:tcPr>
          <w:p>
            <w:r>
              <w:rPr>
                <w:rFonts w:ascii="Liberation Sans" w:hAnsi="Liberation Sans"/>
                <w:color w:val="1C2430"/>
                <w:sz w:val="16"/>
              </w:rPr>
              <w:t>log(valley) + log(width)</w:t>
            </w:r>
          </w:p>
        </w:tc>
        <w:tc>
          <w:tcPr>
            <w:tcW w:type="dxa" w:w="2448"/>
            <w:tcMar>
              <w:top w:w="80" w:type="dxa"/>
              <w:start w:w="90" w:type="dxa"/>
              <w:bottom w:w="80" w:type="dxa"/>
              <w:end w:w="90" w:type="dxa"/>
            </w:tcMar>
            <w:vAlign w:val="center"/>
          </w:tcPr>
          <w:p>
            <w:r>
              <w:rPr>
                <w:rFonts w:ascii="Liberation Sans" w:hAnsi="Liberation Sans"/>
                <w:color w:val="1C2430"/>
                <w:sz w:val="16"/>
              </w:rPr>
              <w:t>0.790</w:t>
            </w:r>
          </w:p>
        </w:tc>
        <w:tc>
          <w:tcPr>
            <w:tcW w:type="dxa" w:w="2592"/>
            <w:tcMar>
              <w:top w:w="80" w:type="dxa"/>
              <w:start w:w="90" w:type="dxa"/>
              <w:bottom w:w="80" w:type="dxa"/>
              <w:end w:w="90" w:type="dxa"/>
            </w:tcMar>
            <w:vAlign w:val="center"/>
          </w:tcPr>
          <w:p>
            <w:r>
              <w:rPr>
                <w:rFonts w:ascii="Liberation Sans" w:hAnsi="Liberation Sans"/>
                <w:color w:val="1C2430"/>
                <w:sz w:val="16"/>
              </w:rPr>
              <w:t>0.996</w:t>
            </w:r>
          </w:p>
        </w:tc>
      </w:tr>
    </w:tbl>
    <w:p>
      <w:pPr>
        <w:spacing w:after="20"/>
      </w:pPr>
    </w:p>
    <w:p>
      <w:r>
        <w:t>Because n=8, these numbers are exploratory only. Their value is conceptual: adding absolute width materially improves the fit, consistent with the biological interpretation and with independent minibeam studies.</w:t>
      </w:r>
    </w:p>
    <w:p>
      <w:pPr>
        <w:pStyle w:val="Heading1"/>
      </w:pPr>
      <w:r>
        <w:t>10. Low-dose adaptive and bystander effects</w:t>
      </w:r>
    </w:p>
    <w:p>
      <w:r>
        <w:t>An important boundary case is very low dose at high particle energy. Normal human fibroblasts exposed to a mean dose of 20 cGy from 0.05 or 1 GeV protons showed reduced chromosomal damage from a later 1 GeV/u iron-ion challenge; unirradiated bystander cells co-cultured with the proton-exposed cells also showed significant protection [B6].</w:t>
      </w:r>
    </w:p>
    <w:p>
      <w:r>
        <w:t>This is a real adaptive/bystander phenomenon, but it should not be relabeled as tissue preservation. It demonstrates stress signaling and altered response to subsequent damage, not long-term arrest of aging or decomposition. It also shows that very low mean dose is not biologically equivalent to “nothing happened.”</w:t>
      </w:r>
    </w:p>
    <w:p>
      <w:pPr>
        <w:pStyle w:val="Heading1"/>
      </w:pPr>
      <w:r>
        <w:t>11. FLASH as a temporal modifier</w:t>
      </w:r>
    </w:p>
    <w:p>
      <w:r>
        <w:t>FLASH radiotherapy asks a different question from spatial fractionation: can delivering dose at ultra-high dose rate reduce normal-tissue injury? In a mouse proton study, FLASH maintained similar tumor control while increasing the dose required to produce 50% acute moist desquamation and fibrosis relative to conventional delivery [B7]. Other murine work reports less contraction, epidermal thickening and collagen deposition, and more recent reirradiation studies report reduced chronic toxicity in intestine, skin and bone [B8].</w:t>
      </w:r>
    </w:p>
    <w:p>
      <w:r>
        <w:t>Thus SPACE and TIME are distinct control axes. Spatial fractionation protects by leaving viable valleys and shortening repair distances; FLASH modifies chemistry and biology during/after exposure. Combining these concepts is scientifically interesting, but neither one demonstrates preservation of directly hit cells.</w:t>
      </w:r>
    </w:p>
    <w:p>
      <w:pPr>
        <w:pStyle w:val="Heading1"/>
      </w:pPr>
      <w:r>
        <w:t>12. Patents and independent convergence</w:t>
      </w:r>
    </w:p>
    <w:p>
      <w:r>
        <w:t>Patent literature independently converges on the same spatial principles. An older microbeam patent describes capillary damage in direct beam paths being repaired by supportive cells surviving in sufficiently unirradiated valley regions, emphasizing vascular recovery as central to normal-tissue sparing [B9]. A newer proton-minibeam patent describes generating high-dose peaks adjacent to low-dose valleys and focuses engineering effort on creating smaller focused beams and higher PVDR [B10].</w:t>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2F5597"/>
                <w:sz w:val="19"/>
              </w:rPr>
              <w:t xml:space="preserve">Patent interpretation — </w:t>
            </w:r>
            <w:r>
              <w:rPr>
                <w:rFonts w:ascii="Liberation Sans" w:hAnsi="Liberation Sans"/>
                <w:color w:val="1C2430"/>
                <w:sz w:val="19"/>
              </w:rPr>
              <w:t>A patent is not proof that a biological mechanism works universally. Its value here is convergence: independent engineering/IP documents prioritize the same beam-width, valley and tissue-sparing variables identified in animal research.</w:t>
            </w:r>
          </w:p>
        </w:tc>
      </w:tr>
    </w:tbl>
    <w:p>
      <w:pPr>
        <w:spacing w:after="0"/>
      </w:pPr>
    </w:p>
    <w:p>
      <w:pPr>
        <w:pStyle w:val="Heading1"/>
      </w:pPr>
      <w:r>
        <w:t>13. 0–5 gold-star benchmark</w:t>
      </w:r>
    </w:p>
    <w:p>
      <w:r>
        <w:t>The following 0–5 scores are SCIENCE AI synthesis scores, not ratings reported by the cited authors. They summarize how strongly the current evidence supports each mechanism as an explanation of living-tissue preservation.</w:t>
      </w:r>
    </w:p>
    <w:tbl>
      <w:tblPr>
        <w:tblStyle w:val="TableGrid"/>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val="true"/>
          <w:cantSplit w:val="true"/>
        </w:trPr>
        <w:tc>
          <w:tcPr>
            <w:tcW w:type="dxa" w:w="2880"/>
            <w:shd w:fill="17365D"/>
            <w:tcMar>
              <w:top w:w="80" w:type="dxa"/>
              <w:start w:w="90" w:type="dxa"/>
              <w:bottom w:w="80" w:type="dxa"/>
              <w:end w:w="90" w:type="dxa"/>
            </w:tcMar>
          </w:tcPr>
          <w:p>
            <w:pPr>
              <w:jc w:val="center"/>
            </w:pPr>
            <w:r>
              <w:rPr>
                <w:rFonts w:ascii="Liberation Sans" w:hAnsi="Liberation Sans"/>
                <w:b/>
                <w:color w:val="FFFFFF"/>
                <w:sz w:val="14"/>
              </w:rPr>
              <w:t>Mechanism / regime</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Preservation</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Living cells</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DNA integrity</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Function</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Evidence</w:t>
            </w:r>
          </w:p>
        </w:tc>
        <w:tc>
          <w:tcPr>
            <w:tcW w:type="dxa" w:w="1008"/>
            <w:shd w:fill="17365D"/>
            <w:tcMar>
              <w:top w:w="80" w:type="dxa"/>
              <w:start w:w="90" w:type="dxa"/>
              <w:bottom w:w="80" w:type="dxa"/>
              <w:end w:w="90" w:type="dxa"/>
            </w:tcMar>
          </w:tcPr>
          <w:p>
            <w:pPr>
              <w:jc w:val="center"/>
            </w:pPr>
            <w:r>
              <w:rPr>
                <w:rFonts w:ascii="Liberation Sans" w:hAnsi="Liberation Sans"/>
                <w:b/>
                <w:color w:val="FFFFFF"/>
                <w:sz w:val="14"/>
              </w:rPr>
              <w:t>Overall</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High particle energy alone</w:t>
            </w:r>
          </w:p>
        </w:tc>
        <w:tc>
          <w:tcPr>
            <w:tcW w:type="dxa" w:w="1008"/>
            <w:tcMar>
              <w:top w:w="80" w:type="dxa"/>
              <w:start w:w="90" w:type="dxa"/>
              <w:bottom w:w="80" w:type="dxa"/>
              <w:end w:w="90" w:type="dxa"/>
            </w:tcMar>
            <w:vAlign w:val="center"/>
          </w:tcPr>
          <w:p>
            <w:r>
              <w:rPr>
                <w:rFonts w:ascii="Liberation Sans" w:hAnsi="Liberation Sans"/>
                <w:color w:val="1C2430"/>
                <w:sz w:val="14"/>
              </w:rPr>
              <w:t>0.5</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0.5</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2.0</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High energy + very low dose</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3.0</w:t>
            </w:r>
          </w:p>
        </w:tc>
        <w:tc>
          <w:tcPr>
            <w:tcW w:type="dxa" w:w="1008"/>
            <w:tcMar>
              <w:top w:w="80" w:type="dxa"/>
              <w:start w:w="90" w:type="dxa"/>
              <w:bottom w:w="80" w:type="dxa"/>
              <w:end w:w="90" w:type="dxa"/>
            </w:tcMar>
            <w:vAlign w:val="center"/>
          </w:tcPr>
          <w:p>
            <w:r>
              <w:rPr>
                <w:rFonts w:ascii="Liberation Sans" w:hAnsi="Liberation Sans"/>
                <w:color w:val="1C2430"/>
                <w:sz w:val="14"/>
              </w:rPr>
              <w:t>3.0</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Low-dose adaptive response</w:t>
            </w:r>
          </w:p>
        </w:tc>
        <w:tc>
          <w:tcPr>
            <w:tcW w:type="dxa" w:w="1008"/>
            <w:tcMar>
              <w:top w:w="80" w:type="dxa"/>
              <w:start w:w="90" w:type="dxa"/>
              <w:bottom w:w="80" w:type="dxa"/>
              <w:end w:w="90" w:type="dxa"/>
            </w:tcMar>
            <w:vAlign w:val="center"/>
          </w:tcPr>
          <w:p>
            <w:r>
              <w:rPr>
                <w:rFonts w:ascii="Liberation Sans" w:hAnsi="Liberation Sans"/>
                <w:color w:val="1C2430"/>
                <w:sz w:val="14"/>
              </w:rPr>
              <w:t>2.0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3.4</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Proton FLASH</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3.0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3.6</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Proton minibeams</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Microbeam spatial fractionation</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3.0</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4.1</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Healthy-neighbor / vascular rescue</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3.5</w:t>
            </w:r>
          </w:p>
        </w:tc>
        <w:tc>
          <w:tcPr>
            <w:tcW w:type="dxa" w:w="1008"/>
            <w:tcMar>
              <w:top w:w="80" w:type="dxa"/>
              <w:start w:w="90" w:type="dxa"/>
              <w:bottom w:w="80" w:type="dxa"/>
              <w:end w:w="90" w:type="dxa"/>
            </w:tcMar>
            <w:vAlign w:val="center"/>
          </w:tcPr>
          <w:p>
            <w:r>
              <w:rPr>
                <w:rFonts w:ascii="Liberation Sans" w:hAnsi="Liberation Sans"/>
                <w:color w:val="1C2430"/>
                <w:sz w:val="14"/>
              </w:rPr>
              <w:t>4.5</w:t>
            </w:r>
          </w:p>
        </w:tc>
        <w:tc>
          <w:tcPr>
            <w:tcW w:type="dxa" w:w="1008"/>
            <w:tcMar>
              <w:top w:w="80" w:type="dxa"/>
              <w:start w:w="90" w:type="dxa"/>
              <w:bottom w:w="80" w:type="dxa"/>
              <w:end w:w="90" w:type="dxa"/>
            </w:tcMar>
            <w:vAlign w:val="center"/>
          </w:tcPr>
          <w:p>
            <w:r>
              <w:rPr>
                <w:rFonts w:ascii="Liberation Sans" w:hAnsi="Liberation Sans"/>
                <w:color w:val="1C2430"/>
                <w:sz w:val="14"/>
              </w:rPr>
              <w:t>4.0</w:t>
            </w:r>
          </w:p>
        </w:tc>
        <w:tc>
          <w:tcPr>
            <w:tcW w:type="dxa" w:w="1008"/>
            <w:tcMar>
              <w:top w:w="80" w:type="dxa"/>
              <w:start w:w="90" w:type="dxa"/>
              <w:bottom w:w="80" w:type="dxa"/>
              <w:end w:w="90" w:type="dxa"/>
            </w:tcMar>
            <w:vAlign w:val="center"/>
          </w:tcPr>
          <w:p>
            <w:r>
              <w:rPr>
                <w:rFonts w:ascii="Liberation Sans" w:hAnsi="Liberation Sans"/>
                <w:color w:val="1C2430"/>
                <w:sz w:val="14"/>
              </w:rPr>
              <w:t>4.2</w:t>
            </w:r>
          </w:p>
        </w:tc>
      </w:tr>
      <w:tr>
        <w:trPr>
          <w:cantSplit w:val="true"/>
        </w:trPr>
        <w:tc>
          <w:tcPr>
            <w:tcW w:type="dxa" w:w="2880"/>
            <w:tcMar>
              <w:top w:w="80" w:type="dxa"/>
              <w:start w:w="90" w:type="dxa"/>
              <w:bottom w:w="80" w:type="dxa"/>
              <w:end w:w="90" w:type="dxa"/>
            </w:tcMar>
            <w:vAlign w:val="center"/>
          </w:tcPr>
          <w:p>
            <w:r>
              <w:rPr>
                <w:rFonts w:ascii="Liberation Sans" w:hAnsi="Liberation Sans"/>
                <w:color w:val="1C2430"/>
                <w:sz w:val="14"/>
              </w:rPr>
              <w:t>Direct-hit cell preservation</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0.5</w:t>
            </w:r>
          </w:p>
        </w:tc>
        <w:tc>
          <w:tcPr>
            <w:tcW w:type="dxa" w:w="1008"/>
            <w:tcMar>
              <w:top w:w="80" w:type="dxa"/>
              <w:start w:w="90" w:type="dxa"/>
              <w:bottom w:w="80" w:type="dxa"/>
              <w:end w:w="90" w:type="dxa"/>
            </w:tcMar>
            <w:vAlign w:val="center"/>
          </w:tcPr>
          <w:p>
            <w:r>
              <w:rPr>
                <w:rFonts w:ascii="Liberation Sans" w:hAnsi="Liberation Sans"/>
                <w:color w:val="1C2430"/>
                <w:sz w:val="14"/>
              </w:rPr>
              <w:t>1.0</w:t>
            </w:r>
          </w:p>
        </w:tc>
        <w:tc>
          <w:tcPr>
            <w:tcW w:type="dxa" w:w="1008"/>
            <w:tcMar>
              <w:top w:w="80" w:type="dxa"/>
              <w:start w:w="90" w:type="dxa"/>
              <w:bottom w:w="80" w:type="dxa"/>
              <w:end w:w="90" w:type="dxa"/>
            </w:tcMar>
            <w:vAlign w:val="center"/>
          </w:tcPr>
          <w:p>
            <w:r>
              <w:rPr>
                <w:rFonts w:ascii="Liberation Sans" w:hAnsi="Liberation Sans"/>
                <w:color w:val="1C2430"/>
                <w:sz w:val="14"/>
              </w:rPr>
              <w:t>2.0</w:t>
            </w:r>
          </w:p>
        </w:tc>
        <w:tc>
          <w:tcPr>
            <w:tcW w:type="dxa" w:w="1008"/>
            <w:tcMar>
              <w:top w:w="80" w:type="dxa"/>
              <w:start w:w="90" w:type="dxa"/>
              <w:bottom w:w="80" w:type="dxa"/>
              <w:end w:w="90" w:type="dxa"/>
            </w:tcMar>
            <w:vAlign w:val="center"/>
          </w:tcPr>
          <w:p>
            <w:r>
              <w:rPr>
                <w:rFonts w:ascii="Liberation Sans" w:hAnsi="Liberation Sans"/>
                <w:color w:val="1C2430"/>
                <w:sz w:val="14"/>
              </w:rPr>
              <w:t>1.1</w:t>
            </w:r>
          </w:p>
        </w:tc>
      </w:tr>
    </w:tbl>
    <w:p>
      <w:pPr>
        <w:spacing w:after="20"/>
      </w:pPr>
    </w:p>
    <w:p>
      <w:pPr>
        <w:pStyle w:val="Small"/>
      </w:pPr>
      <w:r>
        <w:t>* “Living cells” for microbeam spatial fractionation refers mainly to surviving valley/neighbor tissue, not cells in the highest-dose peak track.</w:t>
      </w:r>
    </w:p>
    <w:p>
      <w:pPr>
        <w:pStyle w:val="Heading2"/>
      </w:pPr>
      <w:r>
        <w:t>13.1 Variable importance</w:t>
      </w:r>
    </w:p>
    <w:tbl>
      <w:tblPr>
        <w:tblStyle w:val="TableGrid"/>
        <w:tblW w:type="auto" w:w="0"/>
        <w:jc w:val="center"/>
        <w:tblLayout w:type="fixed"/>
        <w:tblLook w:firstColumn="1" w:firstRow="1" w:lastColumn="0" w:lastRow="0" w:noHBand="0" w:noVBand="1" w:val="04A0"/>
      </w:tblPr>
      <w:tblGrid>
        <w:gridCol w:w="5040"/>
        <w:gridCol w:w="5040"/>
      </w:tblGrid>
      <w:tr>
        <w:trPr>
          <w:tblHeader w:val="true"/>
          <w:cantSplit w:val="true"/>
        </w:trPr>
        <w:tc>
          <w:tcPr>
            <w:tcW w:type="dxa" w:w="6336"/>
            <w:shd w:fill="17365D"/>
            <w:tcMar>
              <w:top w:w="80" w:type="dxa"/>
              <w:start w:w="90" w:type="dxa"/>
              <w:bottom w:w="80" w:type="dxa"/>
              <w:end w:w="90" w:type="dxa"/>
            </w:tcMar>
          </w:tcPr>
          <w:p>
            <w:pPr>
              <w:jc w:val="center"/>
            </w:pPr>
            <w:r>
              <w:rPr>
                <w:rFonts w:ascii="Liberation Sans" w:hAnsi="Liberation Sans"/>
                <w:b/>
                <w:color w:val="FFFFFF"/>
                <w:sz w:val="17"/>
              </w:rPr>
              <w:t>Variable</w:t>
            </w:r>
          </w:p>
        </w:tc>
        <w:tc>
          <w:tcPr>
            <w:tcW w:type="dxa" w:w="3024"/>
            <w:shd w:fill="17365D"/>
            <w:tcMar>
              <w:top w:w="80" w:type="dxa"/>
              <w:start w:w="90" w:type="dxa"/>
              <w:bottom w:w="80" w:type="dxa"/>
              <w:end w:w="90" w:type="dxa"/>
            </w:tcMar>
          </w:tcPr>
          <w:p>
            <w:pPr>
              <w:jc w:val="center"/>
            </w:pPr>
            <w:r>
              <w:rPr>
                <w:rFonts w:ascii="Liberation Sans" w:hAnsi="Liberation Sans"/>
                <w:b/>
                <w:color w:val="FFFFFF"/>
                <w:sz w:val="17"/>
              </w:rPr>
              <w:t>SCIENCE AI importance score</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Absorbed dose</w:t>
            </w:r>
          </w:p>
        </w:tc>
        <w:tc>
          <w:tcPr>
            <w:tcW w:type="dxa" w:w="3024"/>
            <w:tcMar>
              <w:top w:w="80" w:type="dxa"/>
              <w:start w:w="90" w:type="dxa"/>
              <w:bottom w:w="80" w:type="dxa"/>
              <w:end w:w="90" w:type="dxa"/>
            </w:tcMar>
            <w:vAlign w:val="center"/>
          </w:tcPr>
          <w:p>
            <w:r>
              <w:rPr>
                <w:rFonts w:ascii="Liberation Sans" w:hAnsi="Liberation Sans"/>
                <w:color w:val="1C2430"/>
                <w:sz w:val="17"/>
              </w:rPr>
              <w:t>5.0/5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Absolute beam width</w:t>
            </w:r>
          </w:p>
        </w:tc>
        <w:tc>
          <w:tcPr>
            <w:tcW w:type="dxa" w:w="3024"/>
            <w:tcMar>
              <w:top w:w="80" w:type="dxa"/>
              <w:start w:w="90" w:type="dxa"/>
              <w:bottom w:w="80" w:type="dxa"/>
              <w:end w:w="90" w:type="dxa"/>
            </w:tcMar>
            <w:vAlign w:val="center"/>
          </w:tcPr>
          <w:p>
            <w:r>
              <w:rPr>
                <w:rFonts w:ascii="Liberation Sans" w:hAnsi="Liberation Sans"/>
                <w:color w:val="1C2430"/>
                <w:sz w:val="17"/>
              </w:rPr>
              <w:t>5.0/5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Valley/background dose</w:t>
            </w:r>
          </w:p>
        </w:tc>
        <w:tc>
          <w:tcPr>
            <w:tcW w:type="dxa" w:w="3024"/>
            <w:tcMar>
              <w:top w:w="80" w:type="dxa"/>
              <w:start w:w="90" w:type="dxa"/>
              <w:bottom w:w="80" w:type="dxa"/>
              <w:end w:w="90" w:type="dxa"/>
            </w:tcMar>
            <w:vAlign w:val="center"/>
          </w:tcPr>
          <w:p>
            <w:r>
              <w:rPr>
                <w:rFonts w:ascii="Liberation Sans" w:hAnsi="Liberation Sans"/>
                <w:color w:val="1C2430"/>
                <w:sz w:val="17"/>
              </w:rPr>
              <w:t>5.0/5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Healthy tissue fraction</w:t>
            </w:r>
          </w:p>
        </w:tc>
        <w:tc>
          <w:tcPr>
            <w:tcW w:type="dxa" w:w="3024"/>
            <w:tcMar>
              <w:top w:w="80" w:type="dxa"/>
              <w:start w:w="90" w:type="dxa"/>
              <w:bottom w:w="80" w:type="dxa"/>
              <w:end w:w="90" w:type="dxa"/>
            </w:tcMar>
            <w:vAlign w:val="center"/>
          </w:tcPr>
          <w:p>
            <w:r>
              <w:rPr>
                <w:rFonts w:ascii="Liberation Sans" w:hAnsi="Liberation Sans"/>
                <w:color w:val="1C2430"/>
                <w:sz w:val="17"/>
              </w:rPr>
              <w:t>4.5/5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Vascular continuity</w:t>
            </w:r>
          </w:p>
        </w:tc>
        <w:tc>
          <w:tcPr>
            <w:tcW w:type="dxa" w:w="3024"/>
            <w:tcMar>
              <w:top w:w="80" w:type="dxa"/>
              <w:start w:w="90" w:type="dxa"/>
              <w:bottom w:w="80" w:type="dxa"/>
              <w:end w:w="90" w:type="dxa"/>
            </w:tcMar>
            <w:vAlign w:val="center"/>
          </w:tcPr>
          <w:p>
            <w:r>
              <w:rPr>
                <w:rFonts w:ascii="Liberation Sans" w:hAnsi="Liberation Sans"/>
                <w:color w:val="1C2430"/>
                <w:sz w:val="17"/>
              </w:rPr>
              <w:t>4.5/5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Healthy/damaged interface</w:t>
            </w:r>
          </w:p>
        </w:tc>
        <w:tc>
          <w:tcPr>
            <w:tcW w:type="dxa" w:w="3024"/>
            <w:tcMar>
              <w:top w:w="80" w:type="dxa"/>
              <w:start w:w="90" w:type="dxa"/>
              <w:bottom w:w="80" w:type="dxa"/>
              <w:end w:w="90" w:type="dxa"/>
            </w:tcMar>
            <w:vAlign w:val="center"/>
          </w:tcPr>
          <w:p>
            <w:r>
              <w:rPr>
                <w:rFonts w:ascii="Liberation Sans" w:hAnsi="Liberation Sans"/>
                <w:color w:val="1C2430"/>
                <w:sz w:val="17"/>
              </w:rPr>
              <w:t>4.5/5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Repair competence</w:t>
            </w:r>
          </w:p>
        </w:tc>
        <w:tc>
          <w:tcPr>
            <w:tcW w:type="dxa" w:w="3024"/>
            <w:tcMar>
              <w:top w:w="80" w:type="dxa"/>
              <w:start w:w="90" w:type="dxa"/>
              <w:bottom w:w="80" w:type="dxa"/>
              <w:end w:w="90" w:type="dxa"/>
            </w:tcMar>
            <w:vAlign w:val="center"/>
          </w:tcPr>
          <w:p>
            <w:r>
              <w:rPr>
                <w:rFonts w:ascii="Liberation Sans" w:hAnsi="Liberation Sans"/>
                <w:color w:val="1C2430"/>
                <w:sz w:val="17"/>
              </w:rPr>
              <w:t>4.5/5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FLASH timing</w:t>
            </w:r>
          </w:p>
        </w:tc>
        <w:tc>
          <w:tcPr>
            <w:tcW w:type="dxa" w:w="3024"/>
            <w:tcMar>
              <w:top w:w="80" w:type="dxa"/>
              <w:start w:w="90" w:type="dxa"/>
              <w:bottom w:w="80" w:type="dxa"/>
              <w:end w:w="90" w:type="dxa"/>
            </w:tcMar>
            <w:vAlign w:val="center"/>
          </w:tcPr>
          <w:p>
            <w:r>
              <w:rPr>
                <w:rFonts w:ascii="Liberation Sans" w:hAnsi="Liberation Sans"/>
                <w:color w:val="1C2430"/>
                <w:sz w:val="17"/>
              </w:rPr>
              <w:t>3.5/5</w:t>
            </w:r>
          </w:p>
        </w:tc>
      </w:tr>
      <w:tr>
        <w:trPr>
          <w:cantSplit w:val="true"/>
        </w:trPr>
        <w:tc>
          <w:tcPr>
            <w:tcW w:type="dxa" w:w="6336"/>
            <w:tcMar>
              <w:top w:w="80" w:type="dxa"/>
              <w:start w:w="90" w:type="dxa"/>
              <w:bottom w:w="80" w:type="dxa"/>
              <w:end w:w="90" w:type="dxa"/>
            </w:tcMar>
            <w:vAlign w:val="center"/>
          </w:tcPr>
          <w:p>
            <w:r>
              <w:rPr>
                <w:rFonts w:ascii="Liberation Sans" w:hAnsi="Liberation Sans"/>
                <w:color w:val="1C2430"/>
                <w:sz w:val="17"/>
              </w:rPr>
              <w:t>Particle energy by itself</w:t>
            </w:r>
          </w:p>
        </w:tc>
        <w:tc>
          <w:tcPr>
            <w:tcW w:type="dxa" w:w="3024"/>
            <w:tcMar>
              <w:top w:w="80" w:type="dxa"/>
              <w:start w:w="90" w:type="dxa"/>
              <w:bottom w:w="80" w:type="dxa"/>
              <w:end w:w="90" w:type="dxa"/>
            </w:tcMar>
            <w:vAlign w:val="center"/>
          </w:tcPr>
          <w:p>
            <w:r>
              <w:rPr>
                <w:rFonts w:ascii="Liberation Sans" w:hAnsi="Liberation Sans"/>
                <w:color w:val="1C2430"/>
                <w:sz w:val="17"/>
              </w:rPr>
              <w:t>1.5/5</w:t>
            </w:r>
          </w:p>
        </w:tc>
      </w:tr>
    </w:tbl>
    <w:p>
      <w:pPr>
        <w:spacing w:after="20"/>
      </w:pPr>
    </w:p>
    <w:p>
      <w:pPr>
        <w:pStyle w:val="Heading1"/>
      </w:pPr>
      <w:r>
        <w:t>14. Best current mechanism</w:t>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2E7D32"/>
                <w:sz w:val="19"/>
              </w:rPr>
              <w:t xml:space="preserve">Working hypothesis: VIABLE SPATIAL RESCUE — </w:t>
            </w:r>
            <w:r>
              <w:rPr>
                <w:rFonts w:ascii="Liberation Sans" w:hAnsi="Liberation Sans"/>
                <w:color w:val="1C2430"/>
                <w:sz w:val="19"/>
              </w:rPr>
              <w:t>The apparent paradox—extreme local injury with preserved larger-scale tissue—can be explained if most of the surrounding tissue remains alive, perfused and repair-competent while damage is confined to microscopic tracks.</w:t>
            </w:r>
          </w:p>
        </w:tc>
      </w:tr>
    </w:tbl>
    <w:p>
      <w:pPr>
        <w:spacing w:after="0"/>
      </w:pPr>
    </w:p>
    <w:p>
      <w:pPr>
        <w:pStyle w:val="Equation"/>
        <w:jc w:val="center"/>
      </w:pPr>
      <w:r>
        <w:rPr>
          <w:rFonts w:ascii="Liberation Mono" w:hAnsi="Liberation Mono"/>
          <w:b w:val="0"/>
          <w:color w:val="1C2430"/>
          <w:sz w:val="18"/>
        </w:rPr>
        <w:t>Preservation ∝ viable-valley fraction × vascular continuity × healthy/damaged interface × repair competence</w:t>
      </w:r>
    </w:p>
    <w:p>
      <w:pPr>
        <w:pStyle w:val="Equation"/>
        <w:jc w:val="center"/>
      </w:pPr>
      <w:r>
        <w:rPr>
          <w:rFonts w:ascii="Liberation Mono" w:hAnsi="Liberation Mono"/>
          <w:b w:val="0"/>
          <w:color w:val="1C2430"/>
          <w:sz w:val="18"/>
        </w:rPr>
        <w:t>Injury ∝ absorbed dose × damaged-track width × valley/background burden</w:t>
      </w:r>
    </w:p>
    <w:p>
      <w:r>
        <w:t>These are conceptual proportionalities, not clinical equations. They summarize a convergent mechanism supported by the animal literature, the Bugorski-like geometry, and patent descriptions of normal-tissue sparing.</w:t>
      </w:r>
    </w:p>
    <w:p>
      <w:pPr>
        <w:pStyle w:val="Heading2"/>
      </w:pPr>
      <w:r>
        <w:t>14.1 Reinterpretation of Bugorski</w:t>
      </w:r>
    </w:p>
    <w:p>
      <w:r>
        <w:t>The case is best interpreted not as “cells struck by 76 GeV protons became preserved,” but as an extreme narrow-track injury in which the vast majority of the organism remained outside the microscopic trajectory. The tissue directly in the path could be catastrophically damaged while neighboring structures, perfusion and organism-level function remained sufficient for survival. The wrinkle asymmetry can additionally be explained by long-term denervation.</w:t>
      </w:r>
    </w:p>
    <w:p>
      <w:pPr>
        <w:pStyle w:val="Heading1"/>
      </w:pPr>
      <w:r>
        <w:t>15. Safe decisive research program</w:t>
      </w:r>
    </w:p>
    <w:p>
      <w:r>
        <w:t>The next valid experiment is non-human and mechanism-first. It should not search for a “human preservation dose.” Instead it should map the boundary between local ablation and surrounding-tissue rescue.</w:t>
      </w:r>
    </w:p>
    <w:p>
      <w:pPr>
        <w:pStyle w:val="ListNumber"/>
        <w:spacing w:after="40"/>
      </w:pPr>
      <w:r>
        <w:rPr>
          <w:rFonts w:ascii="Liberation Sans" w:hAnsi="Liberation Sans"/>
          <w:sz w:val="18"/>
        </w:rPr>
        <w:t>Use validated 3D tissue models or ethically approved animal/ex-vivo systems in accredited radiation facilities.</w:t>
      </w:r>
    </w:p>
    <w:p>
      <w:pPr>
        <w:pStyle w:val="ListNumber"/>
        <w:spacing w:after="40"/>
      </w:pPr>
      <w:r>
        <w:rPr>
          <w:rFonts w:ascii="Liberation Sans" w:hAnsi="Liberation Sans"/>
          <w:sz w:val="18"/>
        </w:rPr>
        <w:t>Vary spatial geometry independently from average absorbed dose so beam-width and valley effects can be separated.</w:t>
      </w:r>
    </w:p>
    <w:p>
      <w:pPr>
        <w:pStyle w:val="ListNumber"/>
        <w:spacing w:after="40"/>
      </w:pPr>
      <w:r>
        <w:rPr>
          <w:rFonts w:ascii="Liberation Sans" w:hAnsi="Liberation Sans"/>
          <w:sz w:val="18"/>
        </w:rPr>
        <w:t>Measure the same sample on independent axes: live-cell fraction, DNA damage, senescence, microvascular continuity, perfusion, collagen/fibrosis, and functional recovery.</w:t>
      </w:r>
    </w:p>
    <w:p>
      <w:pPr>
        <w:pStyle w:val="ListNumber"/>
        <w:spacing w:after="40"/>
      </w:pPr>
      <w:r>
        <w:rPr>
          <w:rFonts w:ascii="Liberation Sans" w:hAnsi="Liberation Sans"/>
          <w:sz w:val="18"/>
        </w:rPr>
        <w:t>Include spatial maps rather than whole-sample averages so peak tracks and valleys are not mixed into one number.</w:t>
      </w:r>
    </w:p>
    <w:p>
      <w:pPr>
        <w:pStyle w:val="ListNumber"/>
        <w:spacing w:after="40"/>
      </w:pPr>
      <w:r>
        <w:rPr>
          <w:rFonts w:ascii="Liberation Sans" w:hAnsi="Liberation Sans"/>
          <w:sz w:val="18"/>
        </w:rPr>
        <w:t>Use blinded histology and preregistered primary endpoints; replicate the best condition independently before any stronger claim.</w:t>
      </w:r>
    </w:p>
    <w:p>
      <w:pPr>
        <w:pStyle w:val="ListNumber"/>
        <w:spacing w:after="40"/>
      </w:pPr>
      <w:r>
        <w:rPr>
          <w:rFonts w:ascii="Liberation Sans" w:hAnsi="Liberation Sans"/>
          <w:sz w:val="18"/>
        </w:rPr>
        <w:t>Treat any “preserved appearance but reduced viability” result as structural preservation, not living preservation.</w:t>
      </w:r>
    </w:p>
    <w:tbl>
      <w:tblPr>
        <w:tblW w:type="auto" w:w="0"/>
        <w:jc w:val="center"/>
        <w:tblLayout w:type="fixed"/>
        <w:tblLook w:firstColumn="1" w:firstRow="1" w:lastColumn="0" w:lastRow="0" w:noHBand="0" w:noVBand="1" w:val="04A0"/>
      </w:tblPr>
      <w:tblGrid>
        <w:gridCol w:w="9504"/>
      </w:tblGrid>
      <w:tr>
        <w:tc>
          <w:tcPr>
            <w:tcW w:type="dxa" w:w="10080"/>
            <w:shd w:fill="F4F7FB"/>
            <w:tcMar>
              <w:top w:w="120" w:type="dxa"/>
              <w:start w:w="140" w:type="dxa"/>
              <w:bottom w:w="120" w:type="dxa"/>
              <w:end w:w="140" w:type="dxa"/>
            </w:tcMar>
          </w:tcPr>
          <w:p>
            <w:r>
              <w:rPr>
                <w:rFonts w:ascii="Liberation Sans" w:hAnsi="Liberation Sans"/>
                <w:b/>
                <w:color w:val="1F6D7A"/>
                <w:sz w:val="19"/>
              </w:rPr>
              <w:t xml:space="preserve">Decisive positive criterion — </w:t>
            </w:r>
            <w:r>
              <w:rPr>
                <w:rFonts w:ascii="Liberation Sans" w:hAnsi="Liberation Sans"/>
                <w:color w:val="1C2430"/>
                <w:sz w:val="19"/>
              </w:rPr>
              <w:t>A true living-tissue preservation signal would require lower macroscopic degradation together with preserved or improved viability, low DNA damage, low senescence, preserved perfusion/function and reproducibility. No reviewed Bugorski-like radiation experiment currently demonstrates that full pattern.</w:t>
            </w:r>
          </w:p>
        </w:tc>
      </w:tr>
    </w:tbl>
    <w:p>
      <w:pPr>
        <w:spacing w:after="0"/>
      </w:pPr>
    </w:p>
    <w:p>
      <w:pPr>
        <w:pStyle w:val="Heading1"/>
      </w:pPr>
      <w:r>
        <w:t>16. Limits, falsifiers and open questions</w:t>
      </w:r>
    </w:p>
    <w:tbl>
      <w:tblPr>
        <w:tblStyle w:val="TableGrid"/>
        <w:tblW w:type="auto" w:w="0"/>
        <w:jc w:val="center"/>
        <w:tblLayout w:type="fixed"/>
        <w:tblLook w:firstColumn="1" w:firstRow="1" w:lastColumn="0" w:lastRow="0" w:noHBand="0" w:noVBand="1" w:val="04A0"/>
      </w:tblPr>
      <w:tblGrid>
        <w:gridCol w:w="5040"/>
        <w:gridCol w:w="5040"/>
      </w:tblGrid>
      <w:tr>
        <w:trPr>
          <w:tblHeader w:val="true"/>
          <w:cantSplit w:val="true"/>
        </w:trPr>
        <w:tc>
          <w:tcPr>
            <w:tcW w:type="dxa" w:w="4608"/>
            <w:shd w:fill="17365D"/>
            <w:tcMar>
              <w:top w:w="80" w:type="dxa"/>
              <w:start w:w="90" w:type="dxa"/>
              <w:bottom w:w="80" w:type="dxa"/>
              <w:end w:w="90" w:type="dxa"/>
            </w:tcMar>
          </w:tcPr>
          <w:p>
            <w:pPr>
              <w:jc w:val="center"/>
            </w:pPr>
            <w:r>
              <w:rPr>
                <w:rFonts w:ascii="Liberation Sans" w:hAnsi="Liberation Sans"/>
                <w:b/>
                <w:color w:val="FFFFFF"/>
                <w:sz w:val="16"/>
              </w:rPr>
              <w:t>Question</w:t>
            </w:r>
          </w:p>
        </w:tc>
        <w:tc>
          <w:tcPr>
            <w:tcW w:type="dxa" w:w="4752"/>
            <w:shd w:fill="17365D"/>
            <w:tcMar>
              <w:top w:w="80" w:type="dxa"/>
              <w:start w:w="90" w:type="dxa"/>
              <w:bottom w:w="80" w:type="dxa"/>
              <w:end w:w="90" w:type="dxa"/>
            </w:tcMar>
          </w:tcPr>
          <w:p>
            <w:pPr>
              <w:jc w:val="center"/>
            </w:pPr>
            <w:r>
              <w:rPr>
                <w:rFonts w:ascii="Liberation Sans" w:hAnsi="Liberation Sans"/>
                <w:b/>
                <w:color w:val="FFFFFF"/>
                <w:sz w:val="16"/>
              </w:rPr>
              <w:t>Current status</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Is 76 GeV a special preservation energy?</w:t>
            </w:r>
          </w:p>
        </w:tc>
        <w:tc>
          <w:tcPr>
            <w:tcW w:type="dxa" w:w="4752"/>
            <w:tcMar>
              <w:top w:w="80" w:type="dxa"/>
              <w:start w:w="90" w:type="dxa"/>
              <w:bottom w:w="80" w:type="dxa"/>
              <w:end w:w="90" w:type="dxa"/>
            </w:tcMar>
            <w:vAlign w:val="center"/>
          </w:tcPr>
          <w:p>
            <w:r>
              <w:rPr>
                <w:rFonts w:ascii="Liberation Sans" w:hAnsi="Liberation Sans"/>
                <w:color w:val="1C2430"/>
                <w:sz w:val="16"/>
              </w:rPr>
              <w:t>No evidence; high-energy transmission biology is near low-LET/photon-like in current cell data.</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Does electrical silence protect tissue from proton energy deposition?</w:t>
            </w:r>
          </w:p>
        </w:tc>
        <w:tc>
          <w:tcPr>
            <w:tcW w:type="dxa" w:w="4752"/>
            <w:tcMar>
              <w:top w:w="80" w:type="dxa"/>
              <w:start w:w="90" w:type="dxa"/>
              <w:bottom w:w="80" w:type="dxa"/>
              <w:end w:w="90" w:type="dxa"/>
            </w:tcMar>
            <w:vAlign w:val="center"/>
          </w:tcPr>
          <w:p>
            <w:r>
              <w:rPr>
                <w:rFonts w:ascii="Liberation Sans" w:hAnsi="Liberation Sans"/>
                <w:color w:val="1C2430"/>
                <w:sz w:val="16"/>
              </w:rPr>
              <w:t>Strongly disfavored.</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Can low-dose protons trigger adaptive signaling?</w:t>
            </w:r>
          </w:p>
        </w:tc>
        <w:tc>
          <w:tcPr>
            <w:tcW w:type="dxa" w:w="4752"/>
            <w:tcMar>
              <w:top w:w="80" w:type="dxa"/>
              <w:start w:w="90" w:type="dxa"/>
              <w:bottom w:w="80" w:type="dxa"/>
              <w:end w:w="90" w:type="dxa"/>
            </w:tcMar>
            <w:vAlign w:val="center"/>
          </w:tcPr>
          <w:p>
            <w:r>
              <w:rPr>
                <w:rFonts w:ascii="Liberation Sans" w:hAnsi="Liberation Sans"/>
                <w:color w:val="1C2430"/>
                <w:sz w:val="16"/>
              </w:rPr>
              <w:t>Yes, in some cellular experiments.</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Can narrow beams spare normal tissue at high local peak dose?</w:t>
            </w:r>
          </w:p>
        </w:tc>
        <w:tc>
          <w:tcPr>
            <w:tcW w:type="dxa" w:w="4752"/>
            <w:tcMar>
              <w:top w:w="80" w:type="dxa"/>
              <w:start w:w="90" w:type="dxa"/>
              <w:bottom w:w="80" w:type="dxa"/>
              <w:end w:w="90" w:type="dxa"/>
            </w:tcMar>
            <w:vAlign w:val="center"/>
          </w:tcPr>
          <w:p>
            <w:r>
              <w:rPr>
                <w:rFonts w:ascii="Liberation Sans" w:hAnsi="Liberation Sans"/>
                <w:color w:val="1C2430"/>
                <w:sz w:val="16"/>
              </w:rPr>
              <w:t>Strong preclinical support.</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Is valley dose alone sufficient to predict outcome?</w:t>
            </w:r>
          </w:p>
        </w:tc>
        <w:tc>
          <w:tcPr>
            <w:tcW w:type="dxa" w:w="4752"/>
            <w:tcMar>
              <w:top w:w="80" w:type="dxa"/>
              <w:start w:w="90" w:type="dxa"/>
              <w:bottom w:w="80" w:type="dxa"/>
              <w:end w:w="90" w:type="dxa"/>
            </w:tcMar>
            <w:vAlign w:val="center"/>
          </w:tcPr>
          <w:p>
            <w:r>
              <w:rPr>
                <w:rFonts w:ascii="Liberation Sans" w:hAnsi="Liberation Sans"/>
                <w:color w:val="1C2430"/>
                <w:sz w:val="16"/>
              </w:rPr>
              <w:t>No; absolute track width and geometry also matter.</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Is there a universal human repair-distance threshold?</w:t>
            </w:r>
          </w:p>
        </w:tc>
        <w:tc>
          <w:tcPr>
            <w:tcW w:type="dxa" w:w="4752"/>
            <w:tcMar>
              <w:top w:w="80" w:type="dxa"/>
              <w:start w:w="90" w:type="dxa"/>
              <w:bottom w:w="80" w:type="dxa"/>
              <w:end w:w="90" w:type="dxa"/>
            </w:tcMar>
            <w:vAlign w:val="center"/>
          </w:tcPr>
          <w:p>
            <w:r>
              <w:rPr>
                <w:rFonts w:ascii="Liberation Sans" w:hAnsi="Liberation Sans"/>
                <w:color w:val="1C2430"/>
                <w:sz w:val="16"/>
              </w:rPr>
              <w:t>Unknown.</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Do directly hit peak-track cells become preserved?</w:t>
            </w:r>
          </w:p>
        </w:tc>
        <w:tc>
          <w:tcPr>
            <w:tcW w:type="dxa" w:w="4752"/>
            <w:tcMar>
              <w:top w:w="80" w:type="dxa"/>
              <w:start w:w="90" w:type="dxa"/>
              <w:bottom w:w="80" w:type="dxa"/>
              <w:end w:w="90" w:type="dxa"/>
            </w:tcMar>
            <w:vAlign w:val="center"/>
          </w:tcPr>
          <w:p>
            <w:r>
              <w:rPr>
                <w:rFonts w:ascii="Liberation Sans" w:hAnsi="Liberation Sans"/>
                <w:color w:val="1C2430"/>
                <w:sz w:val="16"/>
              </w:rPr>
              <w:t>Not demonstrated; often the opposite.</w:t>
            </w:r>
          </w:p>
        </w:tc>
      </w:tr>
      <w:tr>
        <w:trPr>
          <w:cantSplit w:val="true"/>
        </w:trPr>
        <w:tc>
          <w:tcPr>
            <w:tcW w:type="dxa" w:w="4608"/>
            <w:tcMar>
              <w:top w:w="80" w:type="dxa"/>
              <w:start w:w="90" w:type="dxa"/>
              <w:bottom w:w="80" w:type="dxa"/>
              <w:end w:w="90" w:type="dxa"/>
            </w:tcMar>
            <w:vAlign w:val="center"/>
          </w:tcPr>
          <w:p>
            <w:r>
              <w:rPr>
                <w:rFonts w:ascii="Liberation Sans" w:hAnsi="Liberation Sans"/>
                <w:color w:val="1C2430"/>
                <w:sz w:val="16"/>
              </w:rPr>
              <w:t>Does any of this demonstrate immortality?</w:t>
            </w:r>
          </w:p>
        </w:tc>
        <w:tc>
          <w:tcPr>
            <w:tcW w:type="dxa" w:w="4752"/>
            <w:tcMar>
              <w:top w:w="80" w:type="dxa"/>
              <w:start w:w="90" w:type="dxa"/>
              <w:bottom w:w="80" w:type="dxa"/>
              <w:end w:w="90" w:type="dxa"/>
            </w:tcMar>
            <w:vAlign w:val="center"/>
          </w:tcPr>
          <w:p>
            <w:r>
              <w:rPr>
                <w:rFonts w:ascii="Liberation Sans" w:hAnsi="Liberation Sans"/>
                <w:color w:val="1C2430"/>
                <w:sz w:val="16"/>
              </w:rPr>
              <w:t>No.</w:t>
            </w:r>
          </w:p>
        </w:tc>
      </w:tr>
    </w:tbl>
    <w:p>
      <w:pPr>
        <w:spacing w:after="20"/>
      </w:pPr>
    </w:p>
    <w:p>
      <w:pPr>
        <w:pStyle w:val="ListBullet"/>
        <w:spacing w:after="40"/>
      </w:pPr>
      <w:r>
        <w:rPr>
          <w:rFonts w:ascii="Liberation Sans" w:hAnsi="Liberation Sans"/>
          <w:sz w:val="18"/>
        </w:rPr>
        <w:t>Falsifier for spatial rescue: a well-controlled study where narrow and wide injuries with matched valleys show no geometry-dependent sparing.</w:t>
      </w:r>
    </w:p>
    <w:p>
      <w:pPr>
        <w:pStyle w:val="ListBullet"/>
        <w:spacing w:after="40"/>
      </w:pPr>
      <w:r>
        <w:rPr>
          <w:rFonts w:ascii="Liberation Sans" w:hAnsi="Liberation Sans"/>
          <w:sz w:val="18"/>
        </w:rPr>
        <w:t>Falsifier for vascular-rescue emphasis: preserved tissue despite complete local microvascular loss with no alternative repair pathway.</w:t>
      </w:r>
    </w:p>
    <w:p>
      <w:pPr>
        <w:pStyle w:val="ListBullet"/>
        <w:spacing w:after="40"/>
      </w:pPr>
      <w:r>
        <w:rPr>
          <w:rFonts w:ascii="Liberation Sans" w:hAnsi="Liberation Sans"/>
          <w:sz w:val="18"/>
        </w:rPr>
        <w:t>Strong positive evidence for living preservation would require direct-hit cells themselves to remain viable, genomically intact and functional for longer than matched controls.</w:t>
      </w:r>
    </w:p>
    <w:p>
      <w:pPr>
        <w:pStyle w:val="Heading1"/>
      </w:pPr>
      <w:r>
        <w:t>17. Conclusion</w:t>
      </w:r>
    </w:p>
    <w:p>
      <w:r>
        <w:t>The original Bugorski hypothesis contained a wrong microscopic mechanism but a productive macroscopic intuition: extreme local energy and tiny affected volume can behave very differently from broad exposure. The literature strongly supports that intuition. The best explanation is spatial rescue, not a special proton frequency and not direct cellular immortality.</w:t>
      </w:r>
    </w:p>
    <w:p>
      <w:pPr>
        <w:pStyle w:val="Equation"/>
        <w:jc w:val="center"/>
      </w:pPr>
      <w:r>
        <w:rPr>
          <w:rFonts w:ascii="Liberation Mono" w:hAnsi="Liberation Mono"/>
          <w:b w:val="0"/>
          <w:color w:val="1C2430"/>
          <w:sz w:val="18"/>
        </w:rPr>
        <w:t>Current truth target: preserve the ecosystem around microscopic damage, not “immortalize” the cells that receive the peak.</w:t>
      </w:r>
    </w:p>
    <w:p>
      <w:r>
        <w:t>The scientifically defensible frontier is therefore to quantify repair distance, viable-valley requirements, microvascular continuity and temporal delivery effects. That program can produce useful regenerative and tissue-sparing knowledge even if the stronger immortality hypothesis remains unsupported.</w:t>
      </w:r>
    </w:p>
    <w:p>
      <w:pPr>
        <w:pStyle w:val="Heading1"/>
      </w:pPr>
      <w:r>
        <w:t>Appendix A. Research evolution v1–v9</w:t>
      </w:r>
    </w:p>
    <w:tbl>
      <w:tblPr>
        <w:tblStyle w:val="TableGrid"/>
        <w:tblW w:type="auto" w:w="0"/>
        <w:jc w:val="center"/>
        <w:tblLayout w:type="fixed"/>
        <w:tblLook w:firstColumn="1" w:firstRow="1" w:lastColumn="0" w:lastRow="0" w:noHBand="0" w:noVBand="1" w:val="04A0"/>
      </w:tblPr>
      <w:tblGrid>
        <w:gridCol w:w="3360"/>
        <w:gridCol w:w="3360"/>
        <w:gridCol w:w="3360"/>
      </w:tblGrid>
      <w:tr>
        <w:trPr>
          <w:tblHeader w:val="true"/>
          <w:cantSplit w:val="true"/>
        </w:trPr>
        <w:tc>
          <w:tcPr>
            <w:tcW w:type="dxa" w:w="936"/>
            <w:shd w:fill="17365D"/>
            <w:tcMar>
              <w:top w:w="80" w:type="dxa"/>
              <w:start w:w="90" w:type="dxa"/>
              <w:bottom w:w="80" w:type="dxa"/>
              <w:end w:w="90" w:type="dxa"/>
            </w:tcMar>
          </w:tcPr>
          <w:p>
            <w:pPr>
              <w:jc w:val="center"/>
            </w:pPr>
            <w:r>
              <w:rPr>
                <w:rFonts w:ascii="Liberation Sans" w:hAnsi="Liberation Sans"/>
                <w:b/>
                <w:color w:val="FFFFFF"/>
                <w:sz w:val="16"/>
              </w:rPr>
              <w:t>Version</w:t>
            </w:r>
          </w:p>
        </w:tc>
        <w:tc>
          <w:tcPr>
            <w:tcW w:type="dxa" w:w="3096"/>
            <w:shd w:fill="17365D"/>
            <w:tcMar>
              <w:top w:w="80" w:type="dxa"/>
              <w:start w:w="90" w:type="dxa"/>
              <w:bottom w:w="80" w:type="dxa"/>
              <w:end w:w="90" w:type="dxa"/>
            </w:tcMar>
          </w:tcPr>
          <w:p>
            <w:pPr>
              <w:jc w:val="center"/>
            </w:pPr>
            <w:r>
              <w:rPr>
                <w:rFonts w:ascii="Liberation Sans" w:hAnsi="Liberation Sans"/>
                <w:b/>
                <w:color w:val="FFFFFF"/>
                <w:sz w:val="16"/>
              </w:rPr>
              <w:t>Research pivot</w:t>
            </w:r>
          </w:p>
        </w:tc>
        <w:tc>
          <w:tcPr>
            <w:tcW w:type="dxa" w:w="5328"/>
            <w:shd w:fill="17365D"/>
            <w:tcMar>
              <w:top w:w="80" w:type="dxa"/>
              <w:start w:w="90" w:type="dxa"/>
              <w:bottom w:w="80" w:type="dxa"/>
              <w:end w:w="90" w:type="dxa"/>
            </w:tcMar>
          </w:tcPr>
          <w:p>
            <w:pPr>
              <w:jc w:val="center"/>
            </w:pPr>
            <w:r>
              <w:rPr>
                <w:rFonts w:ascii="Liberation Sans" w:hAnsi="Liberation Sans"/>
                <w:b/>
                <w:color w:val="FFFFFF"/>
                <w:sz w:val="16"/>
              </w:rPr>
              <w:t>Result</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v1</w:t>
            </w:r>
          </w:p>
        </w:tc>
        <w:tc>
          <w:tcPr>
            <w:tcW w:type="dxa" w:w="3096"/>
            <w:tcMar>
              <w:top w:w="80" w:type="dxa"/>
              <w:start w:w="90" w:type="dxa"/>
              <w:bottom w:w="80" w:type="dxa"/>
              <w:end w:w="90" w:type="dxa"/>
            </w:tcMar>
            <w:vAlign w:val="center"/>
          </w:tcPr>
          <w:p>
            <w:r>
              <w:rPr>
                <w:rFonts w:ascii="Liberation Sans" w:hAnsi="Liberation Sans"/>
                <w:color w:val="1C2430"/>
                <w:sz w:val="16"/>
              </w:rPr>
              <w:t>Case identification and evidence audit</w:t>
            </w:r>
          </w:p>
        </w:tc>
        <w:tc>
          <w:tcPr>
            <w:tcW w:type="dxa" w:w="5328"/>
            <w:tcMar>
              <w:top w:w="80" w:type="dxa"/>
              <w:start w:w="90" w:type="dxa"/>
              <w:bottom w:w="80" w:type="dxa"/>
              <w:end w:w="90" w:type="dxa"/>
            </w:tcMar>
            <w:vAlign w:val="center"/>
          </w:tcPr>
          <w:p>
            <w:r>
              <w:rPr>
                <w:rFonts w:ascii="Liberation Sans" w:hAnsi="Liberation Sans"/>
                <w:color w:val="1C2430"/>
                <w:sz w:val="16"/>
              </w:rPr>
              <w:t>Bugorski matched the historical 76 GeV accident; postmortem non-decay claim unverified.</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v2</w:t>
            </w:r>
          </w:p>
        </w:tc>
        <w:tc>
          <w:tcPr>
            <w:tcW w:type="dxa" w:w="3096"/>
            <w:tcMar>
              <w:top w:w="80" w:type="dxa"/>
              <w:start w:w="90" w:type="dxa"/>
              <w:bottom w:w="80" w:type="dxa"/>
              <w:end w:w="90" w:type="dxa"/>
            </w:tcMar>
            <w:vAlign w:val="center"/>
          </w:tcPr>
          <w:p>
            <w:r>
              <w:rPr>
                <w:rFonts w:ascii="Liberation Sans" w:hAnsi="Liberation Sans"/>
                <w:color w:val="1C2430"/>
                <w:sz w:val="16"/>
              </w:rPr>
              <w:t>Physics/nerve-current hypothesis</w:t>
            </w:r>
          </w:p>
        </w:tc>
        <w:tc>
          <w:tcPr>
            <w:tcW w:type="dxa" w:w="5328"/>
            <w:tcMar>
              <w:top w:w="80" w:type="dxa"/>
              <w:start w:w="90" w:type="dxa"/>
              <w:bottom w:w="80" w:type="dxa"/>
              <w:end w:w="90" w:type="dxa"/>
            </w:tcMar>
            <w:vAlign w:val="center"/>
          </w:tcPr>
          <w:p>
            <w:r>
              <w:rPr>
                <w:rFonts w:ascii="Liberation Sans" w:hAnsi="Liberation Sans"/>
                <w:color w:val="1C2430"/>
                <w:sz w:val="16"/>
              </w:rPr>
              <w:t>Matter-wave calculations performed; nerve-current collision model rejected.</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v3</w:t>
            </w:r>
          </w:p>
        </w:tc>
        <w:tc>
          <w:tcPr>
            <w:tcW w:type="dxa" w:w="3096"/>
            <w:tcMar>
              <w:top w:w="80" w:type="dxa"/>
              <w:start w:w="90" w:type="dxa"/>
              <w:bottom w:w="80" w:type="dxa"/>
              <w:end w:w="90" w:type="dxa"/>
            </w:tcMar>
            <w:vAlign w:val="center"/>
          </w:tcPr>
          <w:p>
            <w:r>
              <w:rPr>
                <w:rFonts w:ascii="Liberation Sans" w:hAnsi="Liberation Sans"/>
                <w:color w:val="1C2430"/>
                <w:sz w:val="16"/>
              </w:rPr>
              <w:t>Preservation branch</w:t>
            </w:r>
          </w:p>
        </w:tc>
        <w:tc>
          <w:tcPr>
            <w:tcW w:type="dxa" w:w="5328"/>
            <w:tcMar>
              <w:top w:w="80" w:type="dxa"/>
              <w:start w:w="90" w:type="dxa"/>
              <w:bottom w:w="80" w:type="dxa"/>
              <w:end w:w="90" w:type="dxa"/>
            </w:tcMar>
            <w:vAlign w:val="center"/>
          </w:tcPr>
          <w:p>
            <w:r>
              <w:rPr>
                <w:rFonts w:ascii="Liberation Sans" w:hAnsi="Liberation Sans"/>
                <w:color w:val="1C2430"/>
                <w:sz w:val="16"/>
              </w:rPr>
              <w:t>Separated microbial/structural preservation from living-cell preservation.</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v4</w:t>
            </w:r>
          </w:p>
        </w:tc>
        <w:tc>
          <w:tcPr>
            <w:tcW w:type="dxa" w:w="3096"/>
            <w:tcMar>
              <w:top w:w="80" w:type="dxa"/>
              <w:start w:w="90" w:type="dxa"/>
              <w:bottom w:w="80" w:type="dxa"/>
              <w:end w:w="90" w:type="dxa"/>
            </w:tcMar>
            <w:vAlign w:val="center"/>
          </w:tcPr>
          <w:p>
            <w:r>
              <w:rPr>
                <w:rFonts w:ascii="Liberation Sans" w:hAnsi="Liberation Sans"/>
                <w:color w:val="1C2430"/>
                <w:sz w:val="16"/>
              </w:rPr>
              <w:t>All-level benchmark</w:t>
            </w:r>
          </w:p>
        </w:tc>
        <w:tc>
          <w:tcPr>
            <w:tcW w:type="dxa" w:w="5328"/>
            <w:tcMar>
              <w:top w:w="80" w:type="dxa"/>
              <w:start w:w="90" w:type="dxa"/>
              <w:bottom w:w="80" w:type="dxa"/>
              <w:end w:w="90" w:type="dxa"/>
            </w:tcMar>
            <w:vAlign w:val="center"/>
          </w:tcPr>
          <w:p>
            <w:r>
              <w:rPr>
                <w:rFonts w:ascii="Liberation Sans" w:hAnsi="Liberation Sans"/>
                <w:color w:val="1C2430"/>
                <w:sz w:val="16"/>
              </w:rPr>
              <w:t>Visual preservation signal separated from weak biological-life/anti-aging signal.</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v5</w:t>
            </w:r>
          </w:p>
        </w:tc>
        <w:tc>
          <w:tcPr>
            <w:tcW w:type="dxa" w:w="3096"/>
            <w:tcMar>
              <w:top w:w="80" w:type="dxa"/>
              <w:start w:w="90" w:type="dxa"/>
              <w:bottom w:w="80" w:type="dxa"/>
              <w:end w:w="90" w:type="dxa"/>
            </w:tcMar>
            <w:vAlign w:val="center"/>
          </w:tcPr>
          <w:p>
            <w:r>
              <w:rPr>
                <w:rFonts w:ascii="Liberation Sans" w:hAnsi="Liberation Sans"/>
                <w:color w:val="1C2430"/>
                <w:sz w:val="16"/>
              </w:rPr>
              <w:t>Cross-species benchmark</w:t>
            </w:r>
          </w:p>
        </w:tc>
        <w:tc>
          <w:tcPr>
            <w:tcW w:type="dxa" w:w="5328"/>
            <w:tcMar>
              <w:top w:w="80" w:type="dxa"/>
              <w:start w:w="90" w:type="dxa"/>
              <w:bottom w:w="80" w:type="dxa"/>
              <w:end w:w="90" w:type="dxa"/>
            </w:tcMar>
            <w:vAlign w:val="center"/>
          </w:tcPr>
          <w:p>
            <w:r>
              <w:rPr>
                <w:rFonts w:ascii="Liberation Sans" w:hAnsi="Liberation Sans"/>
                <w:color w:val="1C2430"/>
                <w:sz w:val="16"/>
              </w:rPr>
              <w:t>Bacteria, cells, animals and allografts showed sterilization/tissue-sparing versus living-cell damage.</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v6</w:t>
            </w:r>
          </w:p>
        </w:tc>
        <w:tc>
          <w:tcPr>
            <w:tcW w:type="dxa" w:w="3096"/>
            <w:tcMar>
              <w:top w:w="80" w:type="dxa"/>
              <w:start w:w="90" w:type="dxa"/>
              <w:bottom w:w="80" w:type="dxa"/>
              <w:end w:w="90" w:type="dxa"/>
            </w:tcMar>
            <w:vAlign w:val="center"/>
          </w:tcPr>
          <w:p>
            <w:r>
              <w:rPr>
                <w:rFonts w:ascii="Liberation Sans" w:hAnsi="Liberation Sans"/>
                <w:color w:val="1C2430"/>
                <w:sz w:val="16"/>
              </w:rPr>
              <w:t>Microvolume benchmark</w:t>
            </w:r>
          </w:p>
        </w:tc>
        <w:tc>
          <w:tcPr>
            <w:tcW w:type="dxa" w:w="5328"/>
            <w:tcMar>
              <w:top w:w="80" w:type="dxa"/>
              <w:start w:w="90" w:type="dxa"/>
              <w:bottom w:w="80" w:type="dxa"/>
              <w:end w:w="90" w:type="dxa"/>
            </w:tcMar>
            <w:vAlign w:val="center"/>
          </w:tcPr>
          <w:p>
            <w:r>
              <w:rPr>
                <w:rFonts w:ascii="Liberation Sans" w:hAnsi="Liberation Sans"/>
                <w:color w:val="1C2430"/>
                <w:sz w:val="16"/>
              </w:rPr>
              <w:t>High local peak dose can coexist with organ-level sparing when damage volume is microscopic.</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v7</w:t>
            </w:r>
          </w:p>
        </w:tc>
        <w:tc>
          <w:tcPr>
            <w:tcW w:type="dxa" w:w="3096"/>
            <w:tcMar>
              <w:top w:w="80" w:type="dxa"/>
              <w:start w:w="90" w:type="dxa"/>
              <w:bottom w:w="80" w:type="dxa"/>
              <w:end w:w="90" w:type="dxa"/>
            </w:tcMar>
            <w:vAlign w:val="center"/>
          </w:tcPr>
          <w:p>
            <w:r>
              <w:rPr>
                <w:rFonts w:ascii="Liberation Sans" w:hAnsi="Liberation Sans"/>
                <w:color w:val="1C2430"/>
                <w:sz w:val="16"/>
              </w:rPr>
              <w:t>1,152-combination hidden-pattern sweep</w:t>
            </w:r>
          </w:p>
        </w:tc>
        <w:tc>
          <w:tcPr>
            <w:tcW w:type="dxa" w:w="5328"/>
            <w:tcMar>
              <w:top w:w="80" w:type="dxa"/>
              <w:start w:w="90" w:type="dxa"/>
              <w:bottom w:w="80" w:type="dxa"/>
              <w:end w:w="90" w:type="dxa"/>
            </w:tcMar>
            <w:vAlign w:val="center"/>
          </w:tcPr>
          <w:p>
            <w:r>
              <w:rPr>
                <w:rFonts w:ascii="Liberation Sans" w:hAnsi="Liberation Sans"/>
                <w:color w:val="1C2430"/>
                <w:sz w:val="16"/>
              </w:rPr>
              <w:t>Dose and beam width dominated heuristic injury; nominal particle energy was secondary.</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v8</w:t>
            </w:r>
          </w:p>
        </w:tc>
        <w:tc>
          <w:tcPr>
            <w:tcW w:type="dxa" w:w="3096"/>
            <w:tcMar>
              <w:top w:w="80" w:type="dxa"/>
              <w:start w:w="90" w:type="dxa"/>
              <w:bottom w:w="80" w:type="dxa"/>
              <w:end w:w="90" w:type="dxa"/>
            </w:tcMar>
            <w:vAlign w:val="center"/>
          </w:tcPr>
          <w:p>
            <w:r>
              <w:rPr>
                <w:rFonts w:ascii="Liberation Sans" w:hAnsi="Liberation Sans"/>
                <w:color w:val="1C2430"/>
                <w:sz w:val="16"/>
              </w:rPr>
              <w:t>Two-Gate Spatial Rescue</w:t>
            </w:r>
          </w:p>
        </w:tc>
        <w:tc>
          <w:tcPr>
            <w:tcW w:type="dxa" w:w="5328"/>
            <w:tcMar>
              <w:top w:w="80" w:type="dxa"/>
              <w:start w:w="90" w:type="dxa"/>
              <w:bottom w:w="80" w:type="dxa"/>
              <w:end w:w="90" w:type="dxa"/>
            </w:tcMar>
            <w:vAlign w:val="center"/>
          </w:tcPr>
          <w:p>
            <w:r>
              <w:rPr>
                <w:rFonts w:ascii="Liberation Sans" w:hAnsi="Liberation Sans"/>
                <w:color w:val="1C2430"/>
                <w:sz w:val="16"/>
              </w:rPr>
              <w:t>Valley/background gate + absolute repair-distance gate; scale-symmetry break identified.</w:t>
            </w:r>
          </w:p>
        </w:tc>
      </w:tr>
      <w:tr>
        <w:trPr>
          <w:cantSplit w:val="true"/>
        </w:trPr>
        <w:tc>
          <w:tcPr>
            <w:tcW w:type="dxa" w:w="936"/>
            <w:tcMar>
              <w:top w:w="80" w:type="dxa"/>
              <w:start w:w="90" w:type="dxa"/>
              <w:bottom w:w="80" w:type="dxa"/>
              <w:end w:w="90" w:type="dxa"/>
            </w:tcMar>
            <w:vAlign w:val="center"/>
          </w:tcPr>
          <w:p>
            <w:r>
              <w:rPr>
                <w:rFonts w:ascii="Liberation Sans" w:hAnsi="Liberation Sans"/>
                <w:color w:val="1C2430"/>
                <w:sz w:val="16"/>
              </w:rPr>
              <w:t>v9</w:t>
            </w:r>
          </w:p>
        </w:tc>
        <w:tc>
          <w:tcPr>
            <w:tcW w:type="dxa" w:w="3096"/>
            <w:tcMar>
              <w:top w:w="80" w:type="dxa"/>
              <w:start w:w="90" w:type="dxa"/>
              <w:bottom w:w="80" w:type="dxa"/>
              <w:end w:w="90" w:type="dxa"/>
            </w:tcMar>
            <w:vAlign w:val="center"/>
          </w:tcPr>
          <w:p>
            <w:r>
              <w:rPr>
                <w:rFonts w:ascii="Liberation Sans" w:hAnsi="Liberation Sans"/>
                <w:color w:val="1C2430"/>
                <w:sz w:val="16"/>
              </w:rPr>
              <w:t>Truth synthesis</w:t>
            </w:r>
          </w:p>
        </w:tc>
        <w:tc>
          <w:tcPr>
            <w:tcW w:type="dxa" w:w="5328"/>
            <w:tcMar>
              <w:top w:w="80" w:type="dxa"/>
              <w:start w:w="90" w:type="dxa"/>
              <w:bottom w:w="80" w:type="dxa"/>
              <w:end w:w="90" w:type="dxa"/>
            </w:tcMar>
            <w:vAlign w:val="center"/>
          </w:tcPr>
          <w:p>
            <w:r>
              <w:rPr>
                <w:rFonts w:ascii="Liberation Sans" w:hAnsi="Liberation Sans"/>
                <w:color w:val="1C2430"/>
                <w:sz w:val="16"/>
              </w:rPr>
              <w:t>Viable spatial rescue became the strongest evidence-based explanation; exact human preservation setting remains unknown.</w:t>
            </w:r>
          </w:p>
        </w:tc>
      </w:tr>
    </w:tbl>
    <w:p>
      <w:pPr>
        <w:spacing w:after="20"/>
      </w:pPr>
    </w:p>
    <w:p>
      <w:pPr>
        <w:pStyle w:val="Heading1"/>
      </w:pPr>
      <w:r>
        <w:t>Appendix B. Key equations and computational outputs</w:t>
      </w:r>
    </w:p>
    <w:p>
      <w:pPr>
        <w:pStyle w:val="Equation"/>
        <w:jc w:val="center"/>
      </w:pPr>
      <w:r>
        <w:rPr>
          <w:rFonts w:ascii="Liberation Mono" w:hAnsi="Liberation Mono"/>
          <w:b w:val="0"/>
          <w:color w:val="1C2430"/>
          <w:sz w:val="18"/>
        </w:rPr>
        <w:t>gamma = (K + m_p c²)/(m_p c²) ≈ 81.99996 for K = 76 GeV</w:t>
      </w:r>
    </w:p>
    <w:p>
      <w:pPr>
        <w:pStyle w:val="Equation"/>
        <w:jc w:val="center"/>
      </w:pPr>
      <w:r>
        <w:rPr>
          <w:rFonts w:ascii="Liberation Mono" w:hAnsi="Liberation Mono"/>
          <w:b w:val="0"/>
          <w:color w:val="1C2430"/>
          <w:sz w:val="18"/>
        </w:rPr>
        <w:t>v/c = sqrt(1 - 1/gamma²) ≈ 0.99992564</w:t>
      </w:r>
    </w:p>
    <w:p>
      <w:pPr>
        <w:pStyle w:val="Equation"/>
        <w:jc w:val="center"/>
      </w:pPr>
      <w:r>
        <w:rPr>
          <w:rFonts w:ascii="Liberation Mono" w:hAnsi="Liberation Mono"/>
          <w:b w:val="0"/>
          <w:color w:val="1C2430"/>
          <w:sz w:val="18"/>
        </w:rPr>
        <w:t>f_total = E_total/h ≈ 1.86 × 10^25 Hz (matter-wave phase quantity, not a biological RF frequency)</w:t>
      </w:r>
    </w:p>
    <w:p>
      <w:pPr>
        <w:pStyle w:val="Equation"/>
        <w:jc w:val="center"/>
      </w:pPr>
      <w:r>
        <w:rPr>
          <w:rFonts w:ascii="Liberation Mono" w:hAnsi="Liberation Mono"/>
          <w:b w:val="0"/>
          <w:color w:val="1C2430"/>
          <w:sz w:val="18"/>
        </w:rPr>
        <w:t>λ = hc/E_total ≈ 1.61 × 10^-17 m</w:t>
      </w:r>
    </w:p>
    <w:p>
      <w:pPr>
        <w:pStyle w:val="Equation"/>
        <w:jc w:val="center"/>
      </w:pPr>
      <w:r>
        <w:rPr>
          <w:rFonts w:ascii="Liberation Mono" w:hAnsi="Liberation Mono"/>
          <w:b w:val="0"/>
          <w:color w:val="1C2430"/>
          <w:sz w:val="18"/>
        </w:rPr>
        <w:t>Heuristic hidden-pattern sweep: 1,152 combinations</w:t>
      </w:r>
    </w:p>
    <w:p>
      <w:pPr>
        <w:pStyle w:val="Equation"/>
        <w:jc w:val="center"/>
      </w:pPr>
      <w:r>
        <w:rPr>
          <w:rFonts w:ascii="Liberation Mono" w:hAnsi="Liberation Mono"/>
          <w:b w:val="0"/>
          <w:color w:val="1C2430"/>
          <w:sz w:val="18"/>
        </w:rPr>
        <w:t>Correlation injury vs log10 dose: +0.635</w:t>
      </w:r>
    </w:p>
    <w:p>
      <w:pPr>
        <w:pStyle w:val="Equation"/>
        <w:jc w:val="center"/>
      </w:pPr>
      <w:r>
        <w:rPr>
          <w:rFonts w:ascii="Liberation Mono" w:hAnsi="Liberation Mono"/>
          <w:b w:val="0"/>
          <w:color w:val="1C2430"/>
          <w:sz w:val="18"/>
        </w:rPr>
        <w:t>Correlation injury vs log10 beam width: +0.494</w:t>
      </w:r>
    </w:p>
    <w:p>
      <w:pPr>
        <w:pStyle w:val="Equation"/>
        <w:jc w:val="center"/>
      </w:pPr>
      <w:r>
        <w:rPr>
          <w:rFonts w:ascii="Liberation Mono" w:hAnsi="Liberation Mono"/>
          <w:b w:val="0"/>
          <w:color w:val="1C2430"/>
          <w:sz w:val="18"/>
        </w:rPr>
        <w:t>Correlation injury vs log10 particle energy: −0.005</w:t>
      </w:r>
    </w:p>
    <w:p>
      <w:pPr>
        <w:pStyle w:val="Equation"/>
        <w:jc w:val="center"/>
      </w:pPr>
      <w:r>
        <w:rPr>
          <w:rFonts w:ascii="Liberation Mono" w:hAnsi="Liberation Mono"/>
          <w:b w:val="0"/>
          <w:color w:val="1C2430"/>
          <w:sz w:val="18"/>
        </w:rPr>
        <w:t>Rat-lung exploratory R²: peak-only 0.581; peak+width 0.790</w:t>
      </w:r>
    </w:p>
    <w:p>
      <w:pPr>
        <w:pStyle w:val="Equation"/>
        <w:jc w:val="center"/>
      </w:pPr>
      <w:r>
        <w:rPr>
          <w:rFonts w:ascii="Liberation Mono" w:hAnsi="Liberation Mono"/>
          <w:b w:val="0"/>
          <w:color w:val="1C2430"/>
          <w:sz w:val="18"/>
        </w:rPr>
        <w:t>Scale-symmetry break: both 50/400 µm and 500/4000 µm geometries have 12.5% peak coverage, yet high-dose fibrosis differs markedly.</w:t>
      </w:r>
    </w:p>
    <w:p>
      <w:pPr>
        <w:pStyle w:val="Heading1"/>
      </w:pPr>
      <w:r>
        <w:t>Appendix C. References</w:t>
      </w:r>
    </w:p>
    <w:p>
      <w:pPr>
        <w:pStyle w:val="Small"/>
        <w:ind w:hanging="360" w:left="360"/>
      </w:pPr>
      <w:r>
        <w:rPr>
          <w:rFonts w:ascii="Liberation Sans" w:hAnsi="Liberation Sans"/>
          <w:color w:val="1C2430"/>
          <w:sz w:val="16"/>
        </w:rPr>
        <w:t>[B1] IOP Spark. “The man who was hit by a proton current.” Historical summary of the 1978 Anatoli Bugorski accident.</w:t>
      </w:r>
      <w:r>
        <w:rPr>
          <w:rFonts w:ascii="Liberation Sans" w:hAnsi="Liberation Sans"/>
          <w:color w:val="2F5597"/>
          <w:sz w:val="15"/>
        </w:rPr>
        <w:t xml:space="preserve">  https://spark.iop.org/man-who-was-hit-proton-current</w:t>
      </w:r>
    </w:p>
    <w:p>
      <w:pPr>
        <w:pStyle w:val="Small"/>
        <w:ind w:hanging="360" w:left="360"/>
      </w:pPr>
      <w:r>
        <w:rPr>
          <w:rFonts w:ascii="Liberation Sans" w:hAnsi="Liberation Sans"/>
          <w:color w:val="1C2430"/>
          <w:sz w:val="16"/>
        </w:rPr>
        <w:t>[B2] Magro G, et al. Biological effectiveness of high-energy proton transmission beams: in vitro evaluation of cell survival and viability. Physics in Medicine &amp; Biology. 2026;71(12). DOI 10.1088/1361-6560/ae7cd5.</w:t>
      </w:r>
      <w:r>
        <w:rPr>
          <w:rFonts w:ascii="Liberation Sans" w:hAnsi="Liberation Sans"/>
          <w:color w:val="2F5597"/>
          <w:sz w:val="15"/>
        </w:rPr>
        <w:t xml:space="preserve">  https://pubmed.ncbi.nlm.nih.gov/42285158/</w:t>
      </w:r>
    </w:p>
    <w:p>
      <w:pPr>
        <w:pStyle w:val="Small"/>
        <w:ind w:hanging="360" w:left="360"/>
      </w:pPr>
      <w:r>
        <w:rPr>
          <w:rFonts w:ascii="Liberation Sans" w:hAnsi="Liberation Sans"/>
          <w:color w:val="1C2430"/>
          <w:sz w:val="16"/>
        </w:rPr>
        <w:t>[B3] Proton minibeam radiation therapy spares normal rat brain: long-term clinical, radiological and histopathological analysis.</w:t>
      </w:r>
      <w:r>
        <w:rPr>
          <w:rFonts w:ascii="Liberation Sans" w:hAnsi="Liberation Sans"/>
          <w:color w:val="2F5597"/>
          <w:sz w:val="15"/>
        </w:rPr>
        <w:t xml:space="preserve">  https://pmc.ncbi.nlm.nih.gov/articles/PMC5663851/</w:t>
      </w:r>
    </w:p>
    <w:p>
      <w:pPr>
        <w:pStyle w:val="Small"/>
        <w:ind w:hanging="360" w:left="360"/>
      </w:pPr>
      <w:r>
        <w:rPr>
          <w:rFonts w:ascii="Liberation Sans" w:hAnsi="Liberation Sans"/>
          <w:color w:val="1C2430"/>
          <w:sz w:val="16"/>
        </w:rPr>
        <w:t>[B4] Proton pencil minibeam irradiation of an in-vivo mouse ear model spares healthy tissue dependent on beam size.</w:t>
      </w:r>
      <w:r>
        <w:rPr>
          <w:rFonts w:ascii="Liberation Sans" w:hAnsi="Liberation Sans"/>
          <w:color w:val="2F5597"/>
          <w:sz w:val="15"/>
        </w:rPr>
        <w:t xml:space="preserve">  https://pmc.ncbi.nlm.nih.gov/articles/PMC6876838/</w:t>
      </w:r>
    </w:p>
    <w:p>
      <w:pPr>
        <w:pStyle w:val="Small"/>
        <w:ind w:hanging="360" w:left="360"/>
      </w:pPr>
      <w:r>
        <w:rPr>
          <w:rFonts w:ascii="Liberation Sans" w:hAnsi="Liberation Sans"/>
          <w:color w:val="1C2430"/>
          <w:sz w:val="16"/>
        </w:rPr>
        <w:t>[B5] Non-conventional ultra-high dose rate (FLASH) microbeam radiotherapy provides superior normal tissue sparing in rat lung.</w:t>
      </w:r>
      <w:r>
        <w:rPr>
          <w:rFonts w:ascii="Liberation Sans" w:hAnsi="Liberation Sans"/>
          <w:color w:val="2F5597"/>
          <w:sz w:val="15"/>
        </w:rPr>
        <w:t xml:space="preserve">  https://pmc.ncbi.nlm.nih.gov/articles/PMC8864723/</w:t>
      </w:r>
    </w:p>
    <w:p>
      <w:pPr>
        <w:pStyle w:val="Small"/>
        <w:ind w:hanging="360" w:left="360"/>
      </w:pPr>
      <w:r>
        <w:rPr>
          <w:rFonts w:ascii="Liberation Sans" w:hAnsi="Liberation Sans"/>
          <w:color w:val="1C2430"/>
          <w:sz w:val="16"/>
        </w:rPr>
        <w:t>[B6] Buonanno M, De Toledo SM, Howell RW. Low-dose energetic protons induce adaptive and bystander effects that protect human cells against DNA damage caused by a subsequent exposure to energetic iron ions. J Radiat Res. 2015. DOI 10.1093/jrr/rrv005.</w:t>
      </w:r>
      <w:r>
        <w:rPr>
          <w:rFonts w:ascii="Liberation Sans" w:hAnsi="Liberation Sans"/>
          <w:color w:val="2F5597"/>
          <w:sz w:val="15"/>
        </w:rPr>
        <w:t xml:space="preserve">  https://pmc.ncbi.nlm.nih.gov/articles/PMC4426929/</w:t>
      </w:r>
    </w:p>
    <w:p>
      <w:pPr>
        <w:pStyle w:val="Small"/>
        <w:ind w:hanging="360" w:left="360"/>
      </w:pPr>
      <w:r>
        <w:rPr>
          <w:rFonts w:ascii="Liberation Sans" w:hAnsi="Liberation Sans"/>
          <w:color w:val="1C2430"/>
          <w:sz w:val="16"/>
        </w:rPr>
        <w:t>[B7] Pencil beam scanning proton FLASH maintains tumor control while normal tissue damage is reduced in a mouse model.</w:t>
      </w:r>
      <w:r>
        <w:rPr>
          <w:rFonts w:ascii="Liberation Sans" w:hAnsi="Liberation Sans"/>
          <w:color w:val="2F5597"/>
          <w:sz w:val="15"/>
        </w:rPr>
        <w:t xml:space="preserve">  https://pubmed.ncbi.nlm.nih.gov/35595175/</w:t>
      </w:r>
    </w:p>
    <w:p>
      <w:pPr>
        <w:pStyle w:val="Small"/>
        <w:ind w:hanging="360" w:left="360"/>
      </w:pPr>
      <w:r>
        <w:rPr>
          <w:rFonts w:ascii="Liberation Sans" w:hAnsi="Liberation Sans"/>
          <w:color w:val="1C2430"/>
          <w:sz w:val="16"/>
        </w:rPr>
        <w:t>[B8] FLASH proton reirradiation reduces chronic toxicity in normal murine intestine, skin and bone.</w:t>
      </w:r>
      <w:r>
        <w:rPr>
          <w:rFonts w:ascii="Liberation Sans" w:hAnsi="Liberation Sans"/>
          <w:color w:val="2F5597"/>
          <w:sz w:val="15"/>
        </w:rPr>
        <w:t xml:space="preserve">  https://pubmed.ncbi.nlm.nih.gov/39880309/</w:t>
      </w:r>
    </w:p>
    <w:p>
      <w:pPr>
        <w:pStyle w:val="Small"/>
        <w:ind w:hanging="360" w:left="360"/>
      </w:pPr>
      <w:r>
        <w:rPr>
          <w:rFonts w:ascii="Liberation Sans" w:hAnsi="Liberation Sans"/>
          <w:color w:val="1C2430"/>
          <w:sz w:val="16"/>
        </w:rPr>
        <w:t>[B9] EP1885451A2. Methods for implementing microbeam radiation therapy.</w:t>
      </w:r>
      <w:r>
        <w:rPr>
          <w:rFonts w:ascii="Liberation Sans" w:hAnsi="Liberation Sans"/>
          <w:color w:val="2F5597"/>
          <w:sz w:val="15"/>
        </w:rPr>
        <w:t xml:space="preserve">  https://patents.google.com/patent/EP1885451A2/en</w:t>
      </w:r>
    </w:p>
    <w:p>
      <w:pPr>
        <w:pStyle w:val="Small"/>
        <w:ind w:hanging="360" w:left="360"/>
      </w:pPr>
      <w:r>
        <w:rPr>
          <w:rFonts w:ascii="Liberation Sans" w:hAnsi="Liberation Sans"/>
          <w:color w:val="1C2430"/>
          <w:sz w:val="16"/>
        </w:rPr>
        <w:t>[B10] US20250170422A1. Device, apparatus and method for minibeam radiation therapy.</w:t>
      </w:r>
      <w:r>
        <w:rPr>
          <w:rFonts w:ascii="Liberation Sans" w:hAnsi="Liberation Sans"/>
          <w:color w:val="2F5597"/>
          <w:sz w:val="15"/>
        </w:rPr>
        <w:t xml:space="preserve">  https://patents.google.com/patent/US20250170422A1/en</w:t>
      </w:r>
    </w:p>
    <w:p>
      <w:pPr>
        <w:pStyle w:val="Small"/>
        <w:ind w:hanging="360" w:left="360"/>
      </w:pPr>
      <w:r>
        <w:rPr>
          <w:rFonts w:ascii="Liberation Sans" w:hAnsi="Liberation Sans"/>
          <w:color w:val="1C2430"/>
          <w:sz w:val="16"/>
        </w:rPr>
        <w:t>[B11] Radiobiological and treatment-related aspects of spatially fractionated radiotherapy.</w:t>
      </w:r>
      <w:r>
        <w:rPr>
          <w:rFonts w:ascii="Liberation Sans" w:hAnsi="Liberation Sans"/>
          <w:color w:val="2F5597"/>
          <w:sz w:val="15"/>
        </w:rPr>
        <w:t xml:space="preserve">  https://pmc.ncbi.nlm.nih.gov/articles/PMC8954016/</w:t>
      </w:r>
    </w:p>
    <w:p>
      <w:pPr>
        <w:pStyle w:val="Small"/>
        <w:ind w:hanging="360" w:left="360"/>
      </w:pPr>
      <w:r>
        <w:rPr>
          <w:rFonts w:ascii="Liberation Sans" w:hAnsi="Liberation Sans"/>
          <w:color w:val="1C2430"/>
          <w:sz w:val="16"/>
        </w:rPr>
        <w:t>[B12] Short and long-term evaluation of the impact of proton minibeam radiation therapy on motor, emotional and cognitive functions.</w:t>
      </w:r>
      <w:r>
        <w:rPr>
          <w:rFonts w:ascii="Liberation Sans" w:hAnsi="Liberation Sans"/>
          <w:color w:val="2F5597"/>
          <w:sz w:val="15"/>
        </w:rPr>
        <w:t xml:space="preserve">  https://pmc.ncbi.nlm.nih.gov/articles/PMC7419511/</w:t>
      </w:r>
    </w:p>
    <w:sectPr w:rsidR="00FC693F" w:rsidRPr="0006063C" w:rsidSect="00034616">
      <w:headerReference w:type="default" r:id="rId9"/>
      <w:footerReference w:type="default" r:id="rId10"/>
      <w:pgSz w:w="12240" w:h="15840"/>
      <w:pgMar w:top="1037" w:right="1037"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573"/>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5B6573"/>
        <w:sz w:val="16"/>
      </w:rPr>
      <w:t>Bugorski / Spatial Rescue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Liberation Sans" w:hAnsi="Liberation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Liberation Sans" w:hAnsi="Liberation Sans"/>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Liberation Sans" w:hAnsi="Liberation Sans"/>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Liberation Sans" w:hAnsi="Liberation Sans"/>
      <w:b/>
      <w:bCs/>
      <w:color w:val="1F6D7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iberation Sans" w:hAnsi="Liberation Sans"/>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Liberation Sans" w:hAnsi="Liberation Sans"/>
      <w:b/>
      <w:i/>
      <w:iCs/>
      <w:color w:val="5B65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spacing w:before="80" w:after="100"/>
      <w:ind w:left="504"/>
    </w:pPr>
    <w:rPr>
      <w:rFonts w:ascii="Liberation Mono" w:hAnsi="Liberation Mono"/>
      <w:color w:val="1C2430"/>
      <w:sz w:val="18"/>
    </w:rPr>
  </w:style>
  <w:style w:type="paragraph" w:customStyle="1" w:styleId="Small">
    <w:name w:val="Small"/>
    <w:pPr>
      <w:spacing w:after="40"/>
    </w:pPr>
    <w:rPr>
      <w:rFonts w:ascii="Liberation Sans" w:hAnsi="Liberation Sans"/>
      <w:color w:val="5B6573"/>
      <w:sz w:val="16"/>
    </w:rPr>
  </w:style>
  <w:style w:type="paragraph" w:customStyle="1" w:styleId="Callout">
    <w:name w:val="Callout"/>
    <w:pPr>
      <w:spacing w:before="120" w:after="120"/>
      <w:ind w:left="259" w:right="259"/>
    </w:pPr>
    <w:rPr>
      <w:rFonts w:ascii="Liberation Sans" w:hAnsi="Liberation Sans"/>
      <w:b/>
      <w:color w:val="17365D"/>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