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Liberation Sans" w:hAnsi="Liberation Sans"/>
          <w:b/>
          <w:color w:val="17365D"/>
          <w:sz w:val="54"/>
        </w:rPr>
        <w:t>EXPUNERE TIP BUGORSKI LA PARTICULE DE ENERGIE ÎNALTĂ</w:t>
      </w:r>
    </w:p>
    <w:p>
      <w:pPr>
        <w:jc w:val="center"/>
      </w:pPr>
      <w:r>
        <w:rPr>
          <w:rFonts w:ascii="Liberation Sans" w:hAnsi="Liberation Sans"/>
          <w:b w:val="0"/>
          <w:color w:val="1F6D7A"/>
          <w:sz w:val="28"/>
        </w:rPr>
        <w:t>Conservarea țesutului, leziunea de microvolum, spatial rescue și căutarea mecanismului real</w:t>
      </w:r>
    </w:p>
    <w:p>
      <w:pPr>
        <w:spacing w:before="400"/>
        <w:jc w:val="center"/>
      </w:pPr>
      <w:r>
        <w:rPr>
          <w:rFonts w:ascii="Liberation Sans" w:hAnsi="Liberation Sans"/>
          <w:b/>
          <w:color w:val="2F5597"/>
          <w:sz w:val="22"/>
        </w:rPr>
        <w:t>SCIENCE AI / ChatGPT research synthesis</w:t>
      </w:r>
    </w:p>
    <w:p>
      <w:pPr>
        <w:jc w:val="center"/>
      </w:pPr>
      <w:r>
        <w:rPr>
          <w:rFonts w:ascii="Liberation Sans" w:hAnsi="Liberation Sans"/>
          <w:color w:val="5B6573"/>
          <w:sz w:val="20"/>
        </w:rPr>
        <w:t>Dosar de cercetare SCIENCE AI + ChatGPT</w:t>
      </w:r>
    </w:p>
    <w:p>
      <w:pPr>
        <w:spacing w:before="320"/>
        <w:jc w:val="center"/>
      </w:pPr>
      <w:r>
        <w:rPr>
          <w:rFonts w:ascii="Liberation Sans" w:hAnsi="Liberation Sans"/>
          <w:b/>
          <w:color w:val="B58B00"/>
          <w:sz w:val="19"/>
        </w:rPr>
        <w:t>Sinteză de dovezi + program de ipoteze in-silico | Fără protocol de expunere umană</w:t>
      </w:r>
    </w:p>
    <w:p>
      <w:pPr>
        <w:spacing w:before="2200"/>
        <w:jc w:val="center"/>
      </w:pPr>
      <w:r>
        <w:rPr>
          <w:rFonts w:ascii="Liberation Sans" w:hAnsi="Liberation Sans"/>
          <w:color w:val="5B6573"/>
          <w:sz w:val="18"/>
        </w:rPr>
        <w:t>Version date: 1 October 2026</w:t>
      </w:r>
    </w:p>
    <w:p>
      <w:r>
        <w:br w:type="page"/>
      </w:r>
    </w:p>
    <w:tbl>
      <w:tblPr>
        <w:tblW w:type="auto" w:w="0"/>
        <w:jc w:val="center"/>
        <w:tblLayout w:type="fixed"/>
        <w:tblLook w:firstColumn="1" w:firstRow="1" w:lastColumn="0" w:lastRow="0" w:noHBand="0" w:noVBand="1" w:val="04A0"/>
      </w:tblPr>
      <w:tblGrid>
        <w:gridCol w:w="9504"/>
      </w:tblGrid>
      <w:tr>
        <w:tc>
          <w:tcPr>
            <w:tcW w:type="dxa" w:w="10080"/>
            <w:shd w:fill="F4F7FB"/>
            <w:tcMar>
              <w:top w:w="120" w:type="dxa"/>
              <w:start w:w="140" w:type="dxa"/>
              <w:bottom w:w="120" w:type="dxa"/>
              <w:end w:w="140" w:type="dxa"/>
            </w:tcMar>
          </w:tcPr>
          <w:p>
            <w:r>
              <w:rPr>
                <w:rFonts w:ascii="Liberation Sans" w:hAnsi="Liberation Sans"/>
                <w:b/>
                <w:color w:val="2E7D32"/>
                <w:sz w:val="19"/>
              </w:rPr>
              <w:t xml:space="preserve">Verdict global — </w:t>
            </w:r>
            <w:r>
              <w:rPr>
                <w:rFonts w:ascii="Liberation Sans" w:hAnsi="Liberation Sans"/>
                <w:color w:val="1C2430"/>
                <w:sz w:val="19"/>
              </w:rPr>
              <w:t>Nu există o energie/doză/intensitate demonstrată care să păstreze permanent viu țesutul direct iradiat. Cel mai solid semnal experimental este spatial tissue sparing: leziune extrem de locală + valley tissue viabil + microvasculatură funcțională + repair din vecinătate.</w:t>
            </w:r>
          </w:p>
        </w:tc>
      </w:tr>
    </w:tbl>
    <w:p>
      <w:pPr>
        <w:spacing w:after="0"/>
      </w:pPr>
    </w:p>
    <w:p>
      <w:pPr>
        <w:pStyle w:val="Heading1"/>
      </w:pPr>
      <w:r>
        <w:t>Contents</w:t>
      </w:r>
    </w:p>
    <w:p>
      <w:pPr>
        <w:spacing w:after="40"/>
        <w:ind w:left="216"/>
      </w:pPr>
      <w:r>
        <w:rPr>
          <w:rFonts w:ascii="Liberation Sans" w:hAnsi="Liberation Sans"/>
          <w:b/>
          <w:color w:val="17365D"/>
          <w:sz w:val="19"/>
        </w:rPr>
        <w:t>1  Rezumat executiv</w:t>
      </w:r>
    </w:p>
    <w:p>
      <w:pPr>
        <w:spacing w:after="40"/>
        <w:ind w:left="216"/>
      </w:pPr>
      <w:r>
        <w:rPr>
          <w:rFonts w:ascii="Liberation Sans" w:hAnsi="Liberation Sans"/>
          <w:b/>
          <w:color w:val="17365D"/>
          <w:sz w:val="19"/>
        </w:rPr>
        <w:t>2  Cazul istoric și ipoteza inițială</w:t>
      </w:r>
    </w:p>
    <w:p>
      <w:pPr>
        <w:spacing w:after="40"/>
        <w:ind w:left="216"/>
      </w:pPr>
      <w:r>
        <w:rPr>
          <w:rFonts w:ascii="Liberation Sans" w:hAnsi="Liberation Sans"/>
          <w:b/>
          <w:color w:val="17365D"/>
          <w:sz w:val="19"/>
        </w:rPr>
        <w:t>3  Reconstrucția fizică: 76 GeV nu este doză biologică</w:t>
      </w:r>
    </w:p>
    <w:p>
      <w:pPr>
        <w:spacing w:after="40"/>
        <w:ind w:left="216"/>
      </w:pPr>
      <w:r>
        <w:rPr>
          <w:rFonts w:ascii="Liberation Sans" w:hAnsi="Liberation Sans"/>
          <w:b/>
          <w:color w:val="17365D"/>
          <w:sz w:val="19"/>
        </w:rPr>
        <w:t>4  Falsificarea mecanismului curent nervos–ionizare</w:t>
      </w:r>
    </w:p>
    <w:p>
      <w:pPr>
        <w:spacing w:after="40"/>
        <w:ind w:left="216"/>
      </w:pPr>
      <w:r>
        <w:rPr>
          <w:rFonts w:ascii="Liberation Sans" w:hAnsi="Liberation Sans"/>
          <w:b/>
          <w:color w:val="17365D"/>
          <w:sz w:val="19"/>
        </w:rPr>
        <w:t>5  Ce înseamnă de fapt „preservation”</w:t>
      </w:r>
    </w:p>
    <w:p>
      <w:pPr>
        <w:spacing w:after="40"/>
        <w:ind w:left="216"/>
      </w:pPr>
      <w:r>
        <w:rPr>
          <w:rFonts w:ascii="Liberation Sans" w:hAnsi="Liberation Sans"/>
          <w:b/>
          <w:color w:val="17365D"/>
          <w:sz w:val="19"/>
        </w:rPr>
        <w:t>6  Dovezi cross-species</w:t>
      </w:r>
    </w:p>
    <w:p>
      <w:pPr>
        <w:spacing w:after="40"/>
        <w:ind w:left="216"/>
      </w:pPr>
      <w:r>
        <w:rPr>
          <w:rFonts w:ascii="Liberation Sans" w:hAnsi="Liberation Sans"/>
          <w:b/>
          <w:color w:val="17365D"/>
          <w:sz w:val="19"/>
        </w:rPr>
        <w:t>7  Doză locală foarte mare + volum foarte mic</w:t>
      </w:r>
    </w:p>
    <w:p>
      <w:pPr>
        <w:spacing w:after="40"/>
        <w:ind w:left="216"/>
      </w:pPr>
      <w:r>
        <w:rPr>
          <w:rFonts w:ascii="Liberation Sans" w:hAnsi="Liberation Sans"/>
          <w:b/>
          <w:color w:val="17365D"/>
          <w:sz w:val="19"/>
        </w:rPr>
        <w:t>8  Simularea hidden-pattern: 1.152 combinații</w:t>
      </w:r>
    </w:p>
    <w:p>
      <w:pPr>
        <w:spacing w:after="40"/>
        <w:ind w:left="216"/>
      </w:pPr>
      <w:r>
        <w:rPr>
          <w:rFonts w:ascii="Liberation Sans" w:hAnsi="Liberation Sans"/>
          <w:b/>
          <w:color w:val="17365D"/>
          <w:sz w:val="19"/>
        </w:rPr>
        <w:t>9  Two-Gate Spatial Rescue</w:t>
      </w:r>
    </w:p>
    <w:p>
      <w:pPr>
        <w:spacing w:after="40"/>
        <w:ind w:left="216"/>
      </w:pPr>
      <w:r>
        <w:rPr>
          <w:rFonts w:ascii="Liberation Sans" w:hAnsi="Liberation Sans"/>
          <w:b/>
          <w:color w:val="17365D"/>
          <w:sz w:val="19"/>
        </w:rPr>
        <w:t>10  Low-dose adaptive response și bystander effects</w:t>
      </w:r>
    </w:p>
    <w:p>
      <w:pPr>
        <w:spacing w:after="40"/>
        <w:ind w:left="216"/>
      </w:pPr>
      <w:r>
        <w:rPr>
          <w:rFonts w:ascii="Liberation Sans" w:hAnsi="Liberation Sans"/>
          <w:b/>
          <w:color w:val="17365D"/>
          <w:sz w:val="19"/>
        </w:rPr>
        <w:t>11  FLASH ca modificator temporal</w:t>
      </w:r>
    </w:p>
    <w:p>
      <w:pPr>
        <w:spacing w:after="40"/>
        <w:ind w:left="216"/>
      </w:pPr>
      <w:r>
        <w:rPr>
          <w:rFonts w:ascii="Liberation Sans" w:hAnsi="Liberation Sans"/>
          <w:b/>
          <w:color w:val="17365D"/>
          <w:sz w:val="19"/>
        </w:rPr>
        <w:t>12  Patente și convergență independentă</w:t>
      </w:r>
    </w:p>
    <w:p>
      <w:pPr>
        <w:spacing w:after="40"/>
        <w:ind w:left="216"/>
      </w:pPr>
      <w:r>
        <w:rPr>
          <w:rFonts w:ascii="Liberation Sans" w:hAnsi="Liberation Sans"/>
          <w:b/>
          <w:color w:val="17365D"/>
          <w:sz w:val="19"/>
        </w:rPr>
        <w:t>13  Benchmark 0–5 stele</w:t>
      </w:r>
    </w:p>
    <w:p>
      <w:pPr>
        <w:spacing w:after="40"/>
        <w:ind w:left="216"/>
      </w:pPr>
      <w:r>
        <w:rPr>
          <w:rFonts w:ascii="Liberation Sans" w:hAnsi="Liberation Sans"/>
          <w:b/>
          <w:color w:val="17365D"/>
          <w:sz w:val="19"/>
        </w:rPr>
        <w:t>14  Cel mai bun mecanism curent</w:t>
      </w:r>
    </w:p>
    <w:p>
      <w:pPr>
        <w:spacing w:after="40"/>
        <w:ind w:left="216"/>
      </w:pPr>
      <w:r>
        <w:rPr>
          <w:rFonts w:ascii="Liberation Sans" w:hAnsi="Liberation Sans"/>
          <w:b/>
          <w:color w:val="17365D"/>
          <w:sz w:val="19"/>
        </w:rPr>
        <w:t>15  Program decisiv de cercetare sigură</w:t>
      </w:r>
    </w:p>
    <w:p>
      <w:pPr>
        <w:spacing w:after="40"/>
        <w:ind w:left="216"/>
      </w:pPr>
      <w:r>
        <w:rPr>
          <w:rFonts w:ascii="Liberation Sans" w:hAnsi="Liberation Sans"/>
          <w:b/>
          <w:color w:val="17365D"/>
          <w:sz w:val="19"/>
        </w:rPr>
        <w:t>16  Limite, falsificatori și întrebări deschise</w:t>
      </w:r>
    </w:p>
    <w:p>
      <w:pPr>
        <w:spacing w:after="40"/>
        <w:ind w:left="216"/>
      </w:pPr>
      <w:r>
        <w:rPr>
          <w:rFonts w:ascii="Liberation Sans" w:hAnsi="Liberation Sans"/>
          <w:b/>
          <w:color w:val="17365D"/>
          <w:sz w:val="19"/>
        </w:rPr>
        <w:t>17  Concluzie</w:t>
      </w:r>
    </w:p>
    <w:p>
      <w:pPr>
        <w:spacing w:after="40"/>
        <w:ind w:left="216"/>
      </w:pPr>
      <w:r>
        <w:rPr>
          <w:rFonts w:ascii="Liberation Sans" w:hAnsi="Liberation Sans"/>
          <w:b/>
          <w:color w:val="17365D"/>
          <w:sz w:val="19"/>
        </w:rPr>
        <w:t>A  Evoluția cercetării v1–v9</w:t>
      </w:r>
    </w:p>
    <w:p>
      <w:pPr>
        <w:spacing w:after="40"/>
        <w:ind w:left="216"/>
      </w:pPr>
      <w:r>
        <w:rPr>
          <w:rFonts w:ascii="Liberation Sans" w:hAnsi="Liberation Sans"/>
          <w:b/>
          <w:color w:val="17365D"/>
          <w:sz w:val="19"/>
        </w:rPr>
        <w:t>B  Ecuații și rezultate computaționale</w:t>
      </w:r>
    </w:p>
    <w:p>
      <w:pPr>
        <w:spacing w:after="40"/>
        <w:ind w:left="216"/>
      </w:pPr>
      <w:r>
        <w:rPr>
          <w:rFonts w:ascii="Liberation Sans" w:hAnsi="Liberation Sans"/>
          <w:b/>
          <w:color w:val="17365D"/>
          <w:sz w:val="19"/>
        </w:rPr>
        <w:t>C  Referințe</w:t>
      </w:r>
    </w:p>
    <w:p>
      <w:r>
        <w:br w:type="page"/>
      </w:r>
    </w:p>
    <w:p>
      <w:pPr>
        <w:pStyle w:val="Heading1"/>
      </w:pPr>
      <w:r>
        <w:t>1. Rezumat executiv</w:t>
      </w:r>
    </w:p>
    <w:p>
      <w:r>
        <w:rPr>
          <w:rFonts w:ascii="Liberation Sans" w:hAnsi="Liberation Sans"/>
          <w:color w:val="1C2430"/>
          <w:sz w:val="19"/>
        </w:rPr>
        <w:t>Întrebarea de cercetare este dacă aspectul neobișnuit de stabil și leziunea extrem de localizată asociate accidentului lui Anatoli Bugorski pot indica un mecanism general prin care un țesut viu să rămână structural păstrat după o expunere extremă la particule de energie înaltă.</w:t>
      </w:r>
    </w:p>
    <w:p>
      <w:r>
        <w:rPr>
          <w:rFonts w:ascii="Liberation Sans" w:hAnsi="Liberation Sans"/>
          <w:color w:val="1C2430"/>
          <w:sz w:val="19"/>
        </w:rPr>
        <w:t>Cercetarea a pornit de la o ipoteză speculativă: o particulă aproape de viteza luminii ar putea produce o perturbație electromagnetică de frecvență foarte mare care s-ar „ciocni” cu semnalul electric nervos. Fizica și radiobiologia nu susțin acest mecanism. Protonii produc în primul rând ionizare, excitare, scattering și interacții nucleare; aceste procese nu necesită ca neuronul să aibă un potențial de acțiune în acel moment.</w:t>
      </w:r>
    </w:p>
    <w:p>
      <w:r>
        <w:rPr>
          <w:rFonts w:ascii="Liberation Sans" w:hAnsi="Liberation Sans"/>
          <w:color w:val="1C2430"/>
          <w:sz w:val="19"/>
        </w:rPr>
        <w:t>Pista a devenit mult mai productivă când întrebarea a fost reformulată: cum poate un organism să tolereze o leziune locală enormă dacă volumul afectat este microscopic? Literatura microbeam/minibeam, pMBRT și FLASH arată că geometria spațială a dozei poate schimba drastic rezultatul biologic.</w:t>
      </w:r>
    </w:p>
    <w:p>
      <w:r>
        <w:rPr>
          <w:rFonts w:ascii="Liberation Sans" w:hAnsi="Liberation Sans"/>
          <w:color w:val="1C2430"/>
          <w:sz w:val="19"/>
        </w:rPr>
        <w:t>Pattern-ul cel mai robust nu este „energie mare = preservation”, ci un regim de spatial rescue: valley/background burden suficient de mic, lățime absolută a pistei suficient de mică pentru a fi reparabilă, mult țesut sănătos în imediata vecinătate și continuitate microvasculară.</w:t>
      </w:r>
    </w:p>
    <w:p>
      <w:pPr>
        <w:pStyle w:val="Equation"/>
        <w:jc w:val="center"/>
      </w:pPr>
      <w:r>
        <w:rPr>
          <w:rFonts w:ascii="Liberation Mono" w:hAnsi="Liberation Mono"/>
          <w:b w:val="0"/>
          <w:color w:val="1C2430"/>
          <w:sz w:val="18"/>
        </w:rPr>
        <w:t>Model curent:  Tissue survival ≈ f(valley mic, damage width mic, vecini viabili, vasculatură, repair competence)</w:t>
      </w:r>
    </w:p>
    <w:p>
      <w:pPr>
        <w:pStyle w:val="Heading1"/>
      </w:pPr>
      <w:r>
        <w:t>2. Cazul istoric și ipoteza inițială</w:t>
      </w:r>
    </w:p>
    <w:p>
      <w:pPr>
        <w:pStyle w:val="Heading2"/>
      </w:pPr>
      <w:r>
        <w:t>2.1 Accidentul Bugorski</w:t>
      </w:r>
    </w:p>
    <w:p>
      <w:r>
        <w:rPr>
          <w:rFonts w:ascii="Liberation Sans" w:hAnsi="Liberation Sans"/>
          <w:color w:val="1C2430"/>
          <w:sz w:val="19"/>
        </w:rPr>
        <w:t>În 1978, Anatoli Bugorski a fost expus accidental la acceleratorul U-70 din Protvino la un fascicul de protoni raportat la 76 GeV. Relatările istorice descriu o senzație luminoasă intensă, urmată de leziuni locale de radiație, paralizie facială unilaterală, pierderea auzului pe partea afectată și ulterior crize epileptice. Supraviețuirea lui este remarcabilă, dar nu demonstrează că țesutul de pe traseul fasciculului a rămas intact.</w:t>
      </w:r>
    </w:p>
    <w:p>
      <w:r>
        <w:rPr>
          <w:rFonts w:ascii="Liberation Sans" w:hAnsi="Liberation Sans"/>
          <w:color w:val="1C2430"/>
          <w:sz w:val="19"/>
        </w:rPr>
        <w:t>Partea paralizată a feței a fost descrisă popular ca având mult mai puține riduri sau ca fiind „înghețată în timp”. Acest aspect este puternic confundat de denervare: dacă mușchii faciali nu se mai contractă repetat, ridurile de expresie se formează mai puțin. Radiația poate produce suplimentar fibroză, atrofie, modificări vasculare și remodelarea colagenului.</w:t>
      </w:r>
    </w:p>
    <w:p>
      <w:r>
        <w:rPr>
          <w:rFonts w:ascii="Liberation Sans" w:hAnsi="Liberation Sans"/>
          <w:color w:val="1C2430"/>
          <w:sz w:val="19"/>
        </w:rPr>
        <w:t>Afirmația că Bugorski ar fi murit iar obrazul iradiat nu s-ar fi descompus nu a putut fi verificată în surse credibile și este păstrată în raport ca NEVERIFICATĂ, nu ca dovadă.</w:t>
      </w:r>
    </w:p>
    <w:p>
      <w:pPr>
        <w:pStyle w:val="Heading2"/>
      </w:pPr>
      <w:r>
        <w:t>2.2 Ipoteza inițială</w:t>
      </w:r>
    </w:p>
    <w:tbl>
      <w:tblPr>
        <w:tblW w:type="auto" w:w="0"/>
        <w:jc w:val="center"/>
        <w:tblLayout w:type="fixed"/>
        <w:tblLook w:firstColumn="1" w:firstRow="1" w:lastColumn="0" w:lastRow="0" w:noHBand="0" w:noVBand="1" w:val="04A0"/>
      </w:tblPr>
      <w:tblGrid>
        <w:gridCol w:w="9504"/>
      </w:tblGrid>
      <w:tr>
        <w:tc>
          <w:tcPr>
            <w:tcW w:type="dxa" w:w="10080"/>
            <w:shd w:fill="F4F7FB"/>
            <w:tcMar>
              <w:top w:w="120" w:type="dxa"/>
              <w:start w:w="140" w:type="dxa"/>
              <w:bottom w:w="120" w:type="dxa"/>
              <w:end w:w="140" w:type="dxa"/>
            </w:tcMar>
          </w:tcPr>
          <w:p>
            <w:r>
              <w:rPr>
                <w:rFonts w:ascii="Liberation Sans" w:hAnsi="Liberation Sans"/>
                <w:b/>
                <w:color w:val="C75B12"/>
                <w:sz w:val="19"/>
              </w:rPr>
              <w:t xml:space="preserve">Ipoteză inițială — </w:t>
            </w:r>
            <w:r>
              <w:rPr>
                <w:rFonts w:ascii="Liberation Sans" w:hAnsi="Liberation Sans"/>
                <w:color w:val="1C2430"/>
                <w:sz w:val="19"/>
              </w:rPr>
              <w:t>Câmpul/unda asociată protonului foarte energetic ar interacționa cu semnalul electric al nervului, oprind local funcția nervoasă, iar în absența semnalului nervos țesutul ar putea fi păstrat fără paralizie.</w:t>
            </w:r>
          </w:p>
        </w:tc>
      </w:tr>
    </w:tbl>
    <w:p>
      <w:pPr>
        <w:spacing w:after="0"/>
      </w:pPr>
    </w:p>
    <w:p>
      <w:r>
        <w:rPr>
          <w:rFonts w:ascii="Liberation Sans" w:hAnsi="Liberation Sans"/>
          <w:color w:val="1C2430"/>
          <w:sz w:val="19"/>
        </w:rPr>
        <w:t>Valoarea acestei ipoteze a fost metodologică: ne-a forțat să separăm conducerea nervoasă, depunerea de energie, viabilitatea celulară, persistența structurală și descompunerea microbiană. Odată separate, aceste fenomene pot fi testate independent.</w:t>
      </w:r>
    </w:p>
    <w:p>
      <w:pPr>
        <w:pStyle w:val="Heading1"/>
      </w:pPr>
      <w:r>
        <w:t>3. Reconstrucția fizică: 76 GeV nu este doză biologică</w:t>
      </w:r>
    </w:p>
    <w:p>
      <w:pPr>
        <w:pStyle w:val="Equation"/>
        <w:jc w:val="center"/>
      </w:pPr>
      <w:r>
        <w:rPr>
          <w:rFonts w:ascii="Liberation Mono" w:hAnsi="Liberation Mono"/>
          <w:b w:val="0"/>
          <w:color w:val="1C2430"/>
          <w:sz w:val="18"/>
        </w:rPr>
        <w:t>Energia cinetică: K = 76 GeV per proton</w:t>
      </w:r>
    </w:p>
    <w:p>
      <w:pPr>
        <w:pStyle w:val="Equation"/>
        <w:jc w:val="center"/>
      </w:pPr>
      <w:r>
        <w:rPr>
          <w:rFonts w:ascii="Liberation Mono" w:hAnsi="Liberation Mono"/>
          <w:b w:val="0"/>
          <w:color w:val="1C2430"/>
          <w:sz w:val="18"/>
        </w:rPr>
        <w:t>γ ≈ 81.99996;  β = v/c ≈ 0.99992564;  v ≈ 99.99256% din c</w:t>
      </w:r>
    </w:p>
    <w:p>
      <w:pPr>
        <w:pStyle w:val="Equation"/>
        <w:jc w:val="center"/>
      </w:pPr>
      <w:r>
        <w:rPr>
          <w:rFonts w:ascii="Liberation Mono" w:hAnsi="Liberation Mono"/>
          <w:b w:val="0"/>
          <w:color w:val="1C2430"/>
          <w:sz w:val="18"/>
        </w:rPr>
        <w:t>Frecvență cuantică asociată energiei totale: f = E/h ≈ 1.86 × 10^25 Hz</w:t>
      </w:r>
    </w:p>
    <w:p>
      <w:pPr>
        <w:pStyle w:val="Equation"/>
        <w:jc w:val="center"/>
      </w:pPr>
      <w:r>
        <w:rPr>
          <w:rFonts w:ascii="Liberation Mono" w:hAnsi="Liberation Mono"/>
          <w:b w:val="0"/>
          <w:color w:val="1C2430"/>
          <w:sz w:val="18"/>
        </w:rPr>
        <w:t>Lungime de undă de Broglie: λ ≈ 1.61 × 10^-17 m</w:t>
      </w:r>
    </w:p>
    <w:p>
      <w:r>
        <w:rPr>
          <w:rFonts w:ascii="Liberation Sans" w:hAnsi="Liberation Sans"/>
          <w:color w:val="1C2430"/>
          <w:sz w:val="19"/>
        </w:rPr>
        <w:t>Aceste mărimi cuantice nu reprezintă o singură „frecvență magnetică biologică”. Țesutul vede o pistă de particulă încărcată cu ionizare și scattering. Pentru biologie contează doza absorbită, LET, fluence, geometria, dose-rate și radiosensibilitatea țesutului.</w:t>
      </w:r>
    </w:p>
    <w:p>
      <w:pPr>
        <w:pStyle w:val="Equation"/>
        <w:jc w:val="center"/>
      </w:pPr>
      <w:r>
        <w:rPr>
          <w:rFonts w:ascii="Liberation Mono" w:hAnsi="Liberation Mono"/>
          <w:b w:val="0"/>
          <w:color w:val="1C2430"/>
          <w:sz w:val="18"/>
        </w:rPr>
        <w:t>1 Gy = 1 joule de energie absorbită per kilogram de material</w:t>
      </w:r>
    </w:p>
    <w:p>
      <w:r>
        <w:rPr>
          <w:rFonts w:ascii="Liberation Sans" w:hAnsi="Liberation Sans"/>
          <w:color w:val="1C2430"/>
          <w:sz w:val="19"/>
        </w:rPr>
        <w:t>Două expuneri pot avea aceeași energie per proton și efecte complet diferite deoarece diferă numărul de particule, densitatea pistelor și volumul țintă. În regimul high-energy transmission, studiile celulare recente găsesc RBE aproape de 1, deci energia nominală a protonului nu creează singură o stare specială de preservation.</w:t>
      </w:r>
    </w:p>
    <w:p>
      <w:r>
        <w:rPr>
          <w:rFonts w:ascii="Liberation Sans" w:hAnsi="Liberation Sans"/>
          <w:color w:val="1C2430"/>
          <w:sz w:val="19"/>
        </w:rPr>
        <w:t>Dacă fasciculul părăsește vidul și traversează aerul, protonii rămân particule încărcate. Aerul adaugă scattering și pierdere de energie; nu transformă fasciculul într-o undă magnetică pură și nu elimină ionizarea.</w:t>
      </w:r>
    </w:p>
    <w:p>
      <w:pPr>
        <w:pStyle w:val="Heading1"/>
      </w:pPr>
      <w:r>
        <w:t>4. Falsificarea mecanismului curent nervos–ionizare</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cantSplit w:val="true"/>
        </w:trPr>
        <w:tc>
          <w:tcPr>
            <w:tcW w:type="dxa" w:w="2952"/>
            <w:shd w:fill="17365D"/>
            <w:tcMar>
              <w:top w:w="80" w:type="dxa"/>
              <w:start w:w="90" w:type="dxa"/>
              <w:bottom w:w="80" w:type="dxa"/>
              <w:end w:w="90" w:type="dxa"/>
            </w:tcMar>
          </w:tcPr>
          <w:p>
            <w:pPr>
              <w:jc w:val="center"/>
            </w:pPr>
            <w:r>
              <w:rPr>
                <w:rFonts w:ascii="Liberation Sans" w:hAnsi="Liberation Sans"/>
                <w:b/>
                <w:color w:val="FFFFFF"/>
                <w:sz w:val="16"/>
              </w:rPr>
              <w:t>Afirmație</w:t>
            </w:r>
          </w:p>
        </w:tc>
        <w:tc>
          <w:tcPr>
            <w:tcW w:type="dxa" w:w="2088"/>
            <w:shd w:fill="17365D"/>
            <w:tcMar>
              <w:top w:w="80" w:type="dxa"/>
              <w:start w:w="90" w:type="dxa"/>
              <w:bottom w:w="80" w:type="dxa"/>
              <w:end w:w="90" w:type="dxa"/>
            </w:tcMar>
          </w:tcPr>
          <w:p>
            <w:pPr>
              <w:jc w:val="center"/>
            </w:pPr>
            <w:r>
              <w:rPr>
                <w:rFonts w:ascii="Liberation Sans" w:hAnsi="Liberation Sans"/>
                <w:b/>
                <w:color w:val="FFFFFF"/>
                <w:sz w:val="16"/>
              </w:rPr>
              <w:t>Status</w:t>
            </w:r>
          </w:p>
        </w:tc>
        <w:tc>
          <w:tcPr>
            <w:tcW w:type="dxa" w:w="4320"/>
            <w:shd w:fill="17365D"/>
            <w:tcMar>
              <w:top w:w="80" w:type="dxa"/>
              <w:start w:w="90" w:type="dxa"/>
              <w:bottom w:w="80" w:type="dxa"/>
              <w:end w:w="90" w:type="dxa"/>
            </w:tcMar>
          </w:tcPr>
          <w:p>
            <w:pPr>
              <w:jc w:val="center"/>
            </w:pPr>
            <w:r>
              <w:rPr>
                <w:rFonts w:ascii="Liberation Sans" w:hAnsi="Liberation Sans"/>
                <w:b/>
                <w:color w:val="FFFFFF"/>
                <w:sz w:val="16"/>
              </w:rPr>
              <w:t>Motiv</w:t>
            </w:r>
          </w:p>
        </w:tc>
      </w:tr>
      <w:tr>
        <w:trPr>
          <w:cantSplit w:val="true"/>
        </w:trPr>
        <w:tc>
          <w:tcPr>
            <w:tcW w:type="dxa" w:w="2952"/>
            <w:tcMar>
              <w:top w:w="80" w:type="dxa"/>
              <w:start w:w="90" w:type="dxa"/>
              <w:bottom w:w="80" w:type="dxa"/>
              <w:end w:w="90" w:type="dxa"/>
            </w:tcMar>
            <w:vAlign w:val="center"/>
          </w:tcPr>
          <w:p>
            <w:r>
              <w:rPr>
                <w:rFonts w:ascii="Liberation Sans" w:hAnsi="Liberation Sans"/>
                <w:color w:val="1C2430"/>
                <w:sz w:val="16"/>
              </w:rPr>
              <w:t>Leziunea protonului necesită impuls nervos activ</w:t>
            </w:r>
          </w:p>
        </w:tc>
        <w:tc>
          <w:tcPr>
            <w:tcW w:type="dxa" w:w="2088"/>
            <w:tcMar>
              <w:top w:w="80" w:type="dxa"/>
              <w:start w:w="90" w:type="dxa"/>
              <w:bottom w:w="80" w:type="dxa"/>
              <w:end w:w="90" w:type="dxa"/>
            </w:tcMar>
            <w:vAlign w:val="center"/>
          </w:tcPr>
          <w:p>
            <w:r>
              <w:rPr>
                <w:rFonts w:ascii="Liberation Sans" w:hAnsi="Liberation Sans"/>
                <w:color w:val="1C2430"/>
                <w:sz w:val="16"/>
              </w:rPr>
              <w:t>FAILED / nesusținut</w:t>
            </w:r>
          </w:p>
        </w:tc>
        <w:tc>
          <w:tcPr>
            <w:tcW w:type="dxa" w:w="4320"/>
            <w:tcMar>
              <w:top w:w="80" w:type="dxa"/>
              <w:start w:w="90" w:type="dxa"/>
              <w:bottom w:w="80" w:type="dxa"/>
              <w:end w:w="90" w:type="dxa"/>
            </w:tcMar>
            <w:vAlign w:val="center"/>
          </w:tcPr>
          <w:p>
            <w:r>
              <w:rPr>
                <w:rFonts w:ascii="Liberation Sans" w:hAnsi="Liberation Sans"/>
                <w:color w:val="1C2430"/>
                <w:sz w:val="16"/>
              </w:rPr>
              <w:t>Ionizarea acționează asupra atomilor/electronilor indiferent de potențialul de acțiune.</w:t>
            </w:r>
          </w:p>
        </w:tc>
      </w:tr>
      <w:tr>
        <w:trPr>
          <w:cantSplit w:val="true"/>
        </w:trPr>
        <w:tc>
          <w:tcPr>
            <w:tcW w:type="dxa" w:w="2952"/>
            <w:tcMar>
              <w:top w:w="80" w:type="dxa"/>
              <w:start w:w="90" w:type="dxa"/>
              <w:bottom w:w="80" w:type="dxa"/>
              <w:end w:w="90" w:type="dxa"/>
            </w:tcMar>
            <w:vAlign w:val="center"/>
          </w:tcPr>
          <w:p>
            <w:r>
              <w:rPr>
                <w:rFonts w:ascii="Liberation Sans" w:hAnsi="Liberation Sans"/>
                <w:color w:val="1C2430"/>
                <w:sz w:val="16"/>
              </w:rPr>
              <w:t>„Tăcerea electrică” protejează țesutul</w:t>
            </w:r>
          </w:p>
        </w:tc>
        <w:tc>
          <w:tcPr>
            <w:tcW w:type="dxa" w:w="2088"/>
            <w:tcMar>
              <w:top w:w="80" w:type="dxa"/>
              <w:start w:w="90" w:type="dxa"/>
              <w:bottom w:w="80" w:type="dxa"/>
              <w:end w:w="90" w:type="dxa"/>
            </w:tcMar>
            <w:vAlign w:val="center"/>
          </w:tcPr>
          <w:p>
            <w:r>
              <w:rPr>
                <w:rFonts w:ascii="Liberation Sans" w:hAnsi="Liberation Sans"/>
                <w:color w:val="1C2430"/>
                <w:sz w:val="16"/>
              </w:rPr>
              <w:t>Puternic defavorizat</w:t>
            </w:r>
          </w:p>
        </w:tc>
        <w:tc>
          <w:tcPr>
            <w:tcW w:type="dxa" w:w="4320"/>
            <w:tcMar>
              <w:top w:w="80" w:type="dxa"/>
              <w:start w:w="90" w:type="dxa"/>
              <w:bottom w:w="80" w:type="dxa"/>
              <w:end w:w="90" w:type="dxa"/>
            </w:tcMar>
            <w:vAlign w:val="center"/>
          </w:tcPr>
          <w:p>
            <w:r>
              <w:rPr>
                <w:rFonts w:ascii="Liberation Sans" w:hAnsi="Liberation Sans"/>
                <w:color w:val="1C2430"/>
                <w:sz w:val="16"/>
              </w:rPr>
              <w:t>Celulele tăcute electric au tot ADN, membrane, apă și electroni care absorb energie.</w:t>
            </w:r>
          </w:p>
        </w:tc>
      </w:tr>
      <w:tr>
        <w:trPr>
          <w:cantSplit w:val="true"/>
        </w:trPr>
        <w:tc>
          <w:tcPr>
            <w:tcW w:type="dxa" w:w="2952"/>
            <w:tcMar>
              <w:top w:w="80" w:type="dxa"/>
              <w:start w:w="90" w:type="dxa"/>
              <w:bottom w:w="80" w:type="dxa"/>
              <w:end w:w="90" w:type="dxa"/>
            </w:tcMar>
            <w:vAlign w:val="center"/>
          </w:tcPr>
          <w:p>
            <w:r>
              <w:rPr>
                <w:rFonts w:ascii="Liberation Sans" w:hAnsi="Liberation Sans"/>
                <w:color w:val="1C2430"/>
                <w:sz w:val="16"/>
              </w:rPr>
              <w:t>Paralizia poate reduce ridurile</w:t>
            </w:r>
          </w:p>
        </w:tc>
        <w:tc>
          <w:tcPr>
            <w:tcW w:type="dxa" w:w="2088"/>
            <w:tcMar>
              <w:top w:w="80" w:type="dxa"/>
              <w:start w:w="90" w:type="dxa"/>
              <w:bottom w:w="80" w:type="dxa"/>
              <w:end w:w="90" w:type="dxa"/>
            </w:tcMar>
            <w:vAlign w:val="center"/>
          </w:tcPr>
          <w:p>
            <w:r>
              <w:rPr>
                <w:rFonts w:ascii="Liberation Sans" w:hAnsi="Liberation Sans"/>
                <w:color w:val="1C2430"/>
                <w:sz w:val="16"/>
              </w:rPr>
              <w:t>Ipoteză susținută</w:t>
            </w:r>
          </w:p>
        </w:tc>
        <w:tc>
          <w:tcPr>
            <w:tcW w:type="dxa" w:w="4320"/>
            <w:tcMar>
              <w:top w:w="80" w:type="dxa"/>
              <w:start w:w="90" w:type="dxa"/>
              <w:bottom w:w="80" w:type="dxa"/>
              <w:end w:w="90" w:type="dxa"/>
            </w:tcMar>
            <w:vAlign w:val="center"/>
          </w:tcPr>
          <w:p>
            <w:r>
              <w:rPr>
                <w:rFonts w:ascii="Liberation Sans" w:hAnsi="Liberation Sans"/>
                <w:color w:val="1C2430"/>
                <w:sz w:val="16"/>
              </w:rPr>
              <w:t>Absența contracțiilor repetitive reduce formarea ridurilor de expresie.</w:t>
            </w:r>
          </w:p>
        </w:tc>
      </w:tr>
      <w:tr>
        <w:trPr>
          <w:cantSplit w:val="true"/>
        </w:trPr>
        <w:tc>
          <w:tcPr>
            <w:tcW w:type="dxa" w:w="2952"/>
            <w:tcMar>
              <w:top w:w="80" w:type="dxa"/>
              <w:start w:w="90" w:type="dxa"/>
              <w:bottom w:w="80" w:type="dxa"/>
              <w:end w:w="90" w:type="dxa"/>
            </w:tcMar>
            <w:vAlign w:val="center"/>
          </w:tcPr>
          <w:p>
            <w:r>
              <w:rPr>
                <w:rFonts w:ascii="Liberation Sans" w:hAnsi="Liberation Sans"/>
                <w:color w:val="1C2430"/>
                <w:sz w:val="16"/>
              </w:rPr>
              <w:t>Radiația poate schimba textura țesutului</w:t>
            </w:r>
          </w:p>
        </w:tc>
        <w:tc>
          <w:tcPr>
            <w:tcW w:type="dxa" w:w="2088"/>
            <w:tcMar>
              <w:top w:w="80" w:type="dxa"/>
              <w:start w:w="90" w:type="dxa"/>
              <w:bottom w:w="80" w:type="dxa"/>
              <w:end w:w="90" w:type="dxa"/>
            </w:tcMar>
            <w:vAlign w:val="center"/>
          </w:tcPr>
          <w:p>
            <w:r>
              <w:rPr>
                <w:rFonts w:ascii="Liberation Sans" w:hAnsi="Liberation Sans"/>
                <w:color w:val="1C2430"/>
                <w:sz w:val="16"/>
              </w:rPr>
              <w:t>Ipoteză susținută</w:t>
            </w:r>
          </w:p>
        </w:tc>
        <w:tc>
          <w:tcPr>
            <w:tcW w:type="dxa" w:w="4320"/>
            <w:tcMar>
              <w:top w:w="80" w:type="dxa"/>
              <w:start w:w="90" w:type="dxa"/>
              <w:bottom w:w="80" w:type="dxa"/>
              <w:end w:w="90" w:type="dxa"/>
            </w:tcMar>
            <w:vAlign w:val="center"/>
          </w:tcPr>
          <w:p>
            <w:r>
              <w:rPr>
                <w:rFonts w:ascii="Liberation Sans" w:hAnsi="Liberation Sans"/>
                <w:color w:val="1C2430"/>
                <w:sz w:val="16"/>
              </w:rPr>
              <w:t>Fibroză, atrofie, vase și colagen modificate.</w:t>
            </w:r>
          </w:p>
        </w:tc>
      </w:tr>
      <w:tr>
        <w:trPr>
          <w:cantSplit w:val="true"/>
        </w:trPr>
        <w:tc>
          <w:tcPr>
            <w:tcW w:type="dxa" w:w="2952"/>
            <w:tcMar>
              <w:top w:w="80" w:type="dxa"/>
              <w:start w:w="90" w:type="dxa"/>
              <w:bottom w:w="80" w:type="dxa"/>
              <w:end w:w="90" w:type="dxa"/>
            </w:tcMar>
            <w:vAlign w:val="center"/>
          </w:tcPr>
          <w:p>
            <w:r>
              <w:rPr>
                <w:rFonts w:ascii="Liberation Sans" w:hAnsi="Liberation Sans"/>
                <w:color w:val="1C2430"/>
                <w:sz w:val="16"/>
              </w:rPr>
              <w:t>Radiația produce țesut viu „nemuritor”</w:t>
            </w:r>
          </w:p>
        </w:tc>
        <w:tc>
          <w:tcPr>
            <w:tcW w:type="dxa" w:w="2088"/>
            <w:tcMar>
              <w:top w:w="80" w:type="dxa"/>
              <w:start w:w="90" w:type="dxa"/>
              <w:bottom w:w="80" w:type="dxa"/>
              <w:end w:w="90" w:type="dxa"/>
            </w:tcMar>
            <w:vAlign w:val="center"/>
          </w:tcPr>
          <w:p>
            <w:r>
              <w:rPr>
                <w:rFonts w:ascii="Liberation Sans" w:hAnsi="Liberation Sans"/>
                <w:color w:val="1C2430"/>
                <w:sz w:val="16"/>
              </w:rPr>
              <w:t>Nedemonstrat</w:t>
            </w:r>
          </w:p>
        </w:tc>
        <w:tc>
          <w:tcPr>
            <w:tcW w:type="dxa" w:w="4320"/>
            <w:tcMar>
              <w:top w:w="80" w:type="dxa"/>
              <w:start w:w="90" w:type="dxa"/>
              <w:bottom w:w="80" w:type="dxa"/>
              <w:end w:w="90" w:type="dxa"/>
            </w:tcMar>
            <w:vAlign w:val="center"/>
          </w:tcPr>
          <w:p>
            <w:r>
              <w:rPr>
                <w:rFonts w:ascii="Liberation Sans" w:hAnsi="Liberation Sans"/>
                <w:color w:val="1C2430"/>
                <w:sz w:val="16"/>
              </w:rPr>
              <w:t>Radiobiologia arată în principal DNA damage, senescență, necroză/apoptoză și fibroză.</w:t>
            </w:r>
          </w:p>
        </w:tc>
      </w:tr>
    </w:tbl>
    <w:p>
      <w:pPr>
        <w:spacing w:after="20"/>
      </w:pPr>
    </w:p>
    <w:p>
      <w:pPr>
        <w:pStyle w:val="Heading1"/>
      </w:pPr>
      <w:r>
        <w:t>5. Ce înseamnă de fapt „preservation”</w:t>
      </w:r>
    </w:p>
    <w:p>
      <w:pPr>
        <w:pStyle w:val="Equation"/>
        <w:jc w:val="center"/>
      </w:pPr>
      <w:r>
        <w:rPr>
          <w:rFonts w:ascii="Liberation Mono" w:hAnsi="Liberation Mono"/>
          <w:b w:val="0"/>
          <w:color w:val="1C2430"/>
          <w:sz w:val="18"/>
        </w:rPr>
        <w:t>Preservation vizual  ≠  preservation structural  ≠  preservation al țesutului viu</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cantSplit w:val="true"/>
        </w:trPr>
        <w:tc>
          <w:tcPr>
            <w:tcW w:type="dxa" w:w="1440"/>
            <w:shd w:fill="17365D"/>
            <w:tcMar>
              <w:top w:w="80" w:type="dxa"/>
              <w:start w:w="90" w:type="dxa"/>
              <w:bottom w:w="80" w:type="dxa"/>
              <w:end w:w="90" w:type="dxa"/>
            </w:tcMar>
          </w:tcPr>
          <w:p>
            <w:pPr>
              <w:jc w:val="center"/>
            </w:pPr>
            <w:r>
              <w:rPr>
                <w:rFonts w:ascii="Liberation Sans" w:hAnsi="Liberation Sans"/>
                <w:b/>
                <w:color w:val="FFFFFF"/>
                <w:sz w:val="16"/>
              </w:rPr>
              <w:t>Nivel</w:t>
            </w:r>
          </w:p>
        </w:tc>
        <w:tc>
          <w:tcPr>
            <w:tcW w:type="dxa" w:w="3744"/>
            <w:shd w:fill="17365D"/>
            <w:tcMar>
              <w:top w:w="80" w:type="dxa"/>
              <w:start w:w="90" w:type="dxa"/>
              <w:bottom w:w="80" w:type="dxa"/>
              <w:end w:w="90" w:type="dxa"/>
            </w:tcMar>
          </w:tcPr>
          <w:p>
            <w:pPr>
              <w:jc w:val="center"/>
            </w:pPr>
            <w:r>
              <w:rPr>
                <w:rFonts w:ascii="Liberation Sans" w:hAnsi="Liberation Sans"/>
                <w:b/>
                <w:color w:val="FFFFFF"/>
                <w:sz w:val="16"/>
              </w:rPr>
              <w:t>Ce poate rămâne păstrat</w:t>
            </w:r>
          </w:p>
        </w:tc>
        <w:tc>
          <w:tcPr>
            <w:tcW w:type="dxa" w:w="4176"/>
            <w:shd w:fill="17365D"/>
            <w:tcMar>
              <w:top w:w="80" w:type="dxa"/>
              <w:start w:w="90" w:type="dxa"/>
              <w:bottom w:w="80" w:type="dxa"/>
              <w:end w:w="90" w:type="dxa"/>
            </w:tcMar>
          </w:tcPr>
          <w:p>
            <w:pPr>
              <w:jc w:val="center"/>
            </w:pPr>
            <w:r>
              <w:rPr>
                <w:rFonts w:ascii="Liberation Sans" w:hAnsi="Liberation Sans"/>
                <w:b/>
                <w:color w:val="FFFFFF"/>
                <w:sz w:val="16"/>
              </w:rPr>
              <w:t>Cum se verifică</w:t>
            </w:r>
          </w:p>
        </w:tc>
      </w:tr>
      <w:tr>
        <w:trPr>
          <w:cantSplit w:val="true"/>
        </w:trPr>
        <w:tc>
          <w:tcPr>
            <w:tcW w:type="dxa" w:w="1440"/>
            <w:tcMar>
              <w:top w:w="80" w:type="dxa"/>
              <w:start w:w="90" w:type="dxa"/>
              <w:bottom w:w="80" w:type="dxa"/>
              <w:end w:w="90" w:type="dxa"/>
            </w:tcMar>
            <w:vAlign w:val="center"/>
          </w:tcPr>
          <w:p>
            <w:r>
              <w:rPr>
                <w:rFonts w:ascii="Liberation Sans" w:hAnsi="Liberation Sans"/>
                <w:color w:val="1C2430"/>
                <w:sz w:val="16"/>
              </w:rPr>
              <w:t>Vizual</w:t>
            </w:r>
          </w:p>
        </w:tc>
        <w:tc>
          <w:tcPr>
            <w:tcW w:type="dxa" w:w="3744"/>
            <w:tcMar>
              <w:top w:w="80" w:type="dxa"/>
              <w:start w:w="90" w:type="dxa"/>
              <w:bottom w:w="80" w:type="dxa"/>
              <w:end w:w="90" w:type="dxa"/>
            </w:tcMar>
            <w:vAlign w:val="center"/>
          </w:tcPr>
          <w:p>
            <w:r>
              <w:rPr>
                <w:rFonts w:ascii="Liberation Sans" w:hAnsi="Liberation Sans"/>
                <w:color w:val="1C2430"/>
                <w:sz w:val="16"/>
              </w:rPr>
              <w:t>Formă, textură, descompunere lentă</w:t>
            </w:r>
          </w:p>
        </w:tc>
        <w:tc>
          <w:tcPr>
            <w:tcW w:type="dxa" w:w="4176"/>
            <w:tcMar>
              <w:top w:w="80" w:type="dxa"/>
              <w:start w:w="90" w:type="dxa"/>
              <w:bottom w:w="80" w:type="dxa"/>
              <w:end w:w="90" w:type="dxa"/>
            </w:tcMar>
            <w:vAlign w:val="center"/>
          </w:tcPr>
          <w:p>
            <w:r>
              <w:rPr>
                <w:rFonts w:ascii="Liberation Sans" w:hAnsi="Liberation Sans"/>
                <w:color w:val="1C2430"/>
                <w:sz w:val="16"/>
              </w:rPr>
              <w:t>Imaging, aspect, pierdere de masă</w:t>
            </w:r>
          </w:p>
        </w:tc>
      </w:tr>
      <w:tr>
        <w:trPr>
          <w:cantSplit w:val="true"/>
        </w:trPr>
        <w:tc>
          <w:tcPr>
            <w:tcW w:type="dxa" w:w="1440"/>
            <w:tcMar>
              <w:top w:w="80" w:type="dxa"/>
              <w:start w:w="90" w:type="dxa"/>
              <w:bottom w:w="80" w:type="dxa"/>
              <w:end w:w="90" w:type="dxa"/>
            </w:tcMar>
            <w:vAlign w:val="center"/>
          </w:tcPr>
          <w:p>
            <w:r>
              <w:rPr>
                <w:rFonts w:ascii="Liberation Sans" w:hAnsi="Liberation Sans"/>
                <w:color w:val="1C2430"/>
                <w:sz w:val="16"/>
              </w:rPr>
              <w:t>Structural</w:t>
            </w:r>
          </w:p>
        </w:tc>
        <w:tc>
          <w:tcPr>
            <w:tcW w:type="dxa" w:w="3744"/>
            <w:tcMar>
              <w:top w:w="80" w:type="dxa"/>
              <w:start w:w="90" w:type="dxa"/>
              <w:bottom w:w="80" w:type="dxa"/>
              <w:end w:w="90" w:type="dxa"/>
            </w:tcMar>
            <w:vAlign w:val="center"/>
          </w:tcPr>
          <w:p>
            <w:r>
              <w:rPr>
                <w:rFonts w:ascii="Liberation Sans" w:hAnsi="Liberation Sans"/>
                <w:color w:val="1C2430"/>
                <w:sz w:val="16"/>
              </w:rPr>
              <w:t>Colagen, matrice extracelulară, mecanică</w:t>
            </w:r>
          </w:p>
        </w:tc>
        <w:tc>
          <w:tcPr>
            <w:tcW w:type="dxa" w:w="4176"/>
            <w:tcMar>
              <w:top w:w="80" w:type="dxa"/>
              <w:start w:w="90" w:type="dxa"/>
              <w:bottom w:w="80" w:type="dxa"/>
              <w:end w:w="90" w:type="dxa"/>
            </w:tcMar>
            <w:vAlign w:val="center"/>
          </w:tcPr>
          <w:p>
            <w:r>
              <w:rPr>
                <w:rFonts w:ascii="Liberation Sans" w:hAnsi="Liberation Sans"/>
                <w:color w:val="1C2430"/>
                <w:sz w:val="16"/>
              </w:rPr>
              <w:t>Histologie, colagen, stiffness/tensile response</w:t>
            </w:r>
          </w:p>
        </w:tc>
      </w:tr>
      <w:tr>
        <w:trPr>
          <w:cantSplit w:val="true"/>
        </w:trPr>
        <w:tc>
          <w:tcPr>
            <w:tcW w:type="dxa" w:w="1440"/>
            <w:tcMar>
              <w:top w:w="80" w:type="dxa"/>
              <w:start w:w="90" w:type="dxa"/>
              <w:bottom w:w="80" w:type="dxa"/>
              <w:end w:w="90" w:type="dxa"/>
            </w:tcMar>
            <w:vAlign w:val="center"/>
          </w:tcPr>
          <w:p>
            <w:r>
              <w:rPr>
                <w:rFonts w:ascii="Liberation Sans" w:hAnsi="Liberation Sans"/>
                <w:color w:val="1C2430"/>
                <w:sz w:val="16"/>
              </w:rPr>
              <w:t>Microbian</w:t>
            </w:r>
          </w:p>
        </w:tc>
        <w:tc>
          <w:tcPr>
            <w:tcW w:type="dxa" w:w="3744"/>
            <w:tcMar>
              <w:top w:w="80" w:type="dxa"/>
              <w:start w:w="90" w:type="dxa"/>
              <w:bottom w:w="80" w:type="dxa"/>
              <w:end w:w="90" w:type="dxa"/>
            </w:tcMar>
            <w:vAlign w:val="center"/>
          </w:tcPr>
          <w:p>
            <w:r>
              <w:rPr>
                <w:rFonts w:ascii="Liberation Sans" w:hAnsi="Liberation Sans"/>
                <w:color w:val="1C2430"/>
                <w:sz w:val="16"/>
              </w:rPr>
              <w:t>Bacterii/fungi puțini</w:t>
            </w:r>
          </w:p>
        </w:tc>
        <w:tc>
          <w:tcPr>
            <w:tcW w:type="dxa" w:w="4176"/>
            <w:tcMar>
              <w:top w:w="80" w:type="dxa"/>
              <w:start w:w="90" w:type="dxa"/>
              <w:bottom w:w="80" w:type="dxa"/>
              <w:end w:w="90" w:type="dxa"/>
            </w:tcMar>
            <w:vAlign w:val="center"/>
          </w:tcPr>
          <w:p>
            <w:r>
              <w:rPr>
                <w:rFonts w:ascii="Liberation Sans" w:hAnsi="Liberation Sans"/>
                <w:color w:val="1C2430"/>
                <w:sz w:val="16"/>
              </w:rPr>
              <w:t>Culture/sequence burden, chimia descompunerii</w:t>
            </w:r>
          </w:p>
        </w:tc>
      </w:tr>
      <w:tr>
        <w:trPr>
          <w:cantSplit w:val="true"/>
        </w:trPr>
        <w:tc>
          <w:tcPr>
            <w:tcW w:type="dxa" w:w="1440"/>
            <w:tcMar>
              <w:top w:w="80" w:type="dxa"/>
              <w:start w:w="90" w:type="dxa"/>
              <w:bottom w:w="80" w:type="dxa"/>
              <w:end w:w="90" w:type="dxa"/>
            </w:tcMar>
            <w:vAlign w:val="center"/>
          </w:tcPr>
          <w:p>
            <w:r>
              <w:rPr>
                <w:rFonts w:ascii="Liberation Sans" w:hAnsi="Liberation Sans"/>
                <w:color w:val="1C2430"/>
                <w:sz w:val="16"/>
              </w:rPr>
              <w:t>Viabilitate</w:t>
            </w:r>
          </w:p>
        </w:tc>
        <w:tc>
          <w:tcPr>
            <w:tcW w:type="dxa" w:w="3744"/>
            <w:tcMar>
              <w:top w:w="80" w:type="dxa"/>
              <w:start w:w="90" w:type="dxa"/>
              <w:bottom w:w="80" w:type="dxa"/>
              <w:end w:w="90" w:type="dxa"/>
            </w:tcMar>
            <w:vAlign w:val="center"/>
          </w:tcPr>
          <w:p>
            <w:r>
              <w:rPr>
                <w:rFonts w:ascii="Liberation Sans" w:hAnsi="Liberation Sans"/>
                <w:color w:val="1C2430"/>
                <w:sz w:val="16"/>
              </w:rPr>
              <w:t>Metabolism și integritatea membranei</w:t>
            </w:r>
          </w:p>
        </w:tc>
        <w:tc>
          <w:tcPr>
            <w:tcW w:type="dxa" w:w="4176"/>
            <w:tcMar>
              <w:top w:w="80" w:type="dxa"/>
              <w:start w:w="90" w:type="dxa"/>
              <w:bottom w:w="80" w:type="dxa"/>
              <w:end w:w="90" w:type="dxa"/>
            </w:tcMar>
            <w:vAlign w:val="center"/>
          </w:tcPr>
          <w:p>
            <w:r>
              <w:rPr>
                <w:rFonts w:ascii="Liberation Sans" w:hAnsi="Liberation Sans"/>
                <w:color w:val="1C2430"/>
                <w:sz w:val="16"/>
              </w:rPr>
              <w:t>ATP, live/dead, outgrowth</w:t>
            </w:r>
          </w:p>
        </w:tc>
      </w:tr>
      <w:tr>
        <w:trPr>
          <w:cantSplit w:val="true"/>
        </w:trPr>
        <w:tc>
          <w:tcPr>
            <w:tcW w:type="dxa" w:w="1440"/>
            <w:tcMar>
              <w:top w:w="80" w:type="dxa"/>
              <w:start w:w="90" w:type="dxa"/>
              <w:bottom w:w="80" w:type="dxa"/>
              <w:end w:w="90" w:type="dxa"/>
            </w:tcMar>
            <w:vAlign w:val="center"/>
          </w:tcPr>
          <w:p>
            <w:r>
              <w:rPr>
                <w:rFonts w:ascii="Liberation Sans" w:hAnsi="Liberation Sans"/>
                <w:color w:val="1C2430"/>
                <w:sz w:val="16"/>
              </w:rPr>
              <w:t>ADN / senescență</w:t>
            </w:r>
          </w:p>
        </w:tc>
        <w:tc>
          <w:tcPr>
            <w:tcW w:type="dxa" w:w="3744"/>
            <w:tcMar>
              <w:top w:w="80" w:type="dxa"/>
              <w:start w:w="90" w:type="dxa"/>
              <w:bottom w:w="80" w:type="dxa"/>
              <w:end w:w="90" w:type="dxa"/>
            </w:tcMar>
            <w:vAlign w:val="center"/>
          </w:tcPr>
          <w:p>
            <w:r>
              <w:rPr>
                <w:rFonts w:ascii="Liberation Sans" w:hAnsi="Liberation Sans"/>
                <w:color w:val="1C2430"/>
                <w:sz w:val="16"/>
              </w:rPr>
              <w:t>DNA damage redus și senescență mică</w:t>
            </w:r>
          </w:p>
        </w:tc>
        <w:tc>
          <w:tcPr>
            <w:tcW w:type="dxa" w:w="4176"/>
            <w:tcMar>
              <w:top w:w="80" w:type="dxa"/>
              <w:start w:w="90" w:type="dxa"/>
              <w:bottom w:w="80" w:type="dxa"/>
              <w:end w:w="90" w:type="dxa"/>
            </w:tcMar>
            <w:vAlign w:val="center"/>
          </w:tcPr>
          <w:p>
            <w:r>
              <w:rPr>
                <w:rFonts w:ascii="Liberation Sans" w:hAnsi="Liberation Sans"/>
                <w:color w:val="1C2430"/>
                <w:sz w:val="16"/>
              </w:rPr>
              <w:t>γH2AX/markeri DNA, markeri de senescență</w:t>
            </w:r>
          </w:p>
        </w:tc>
      </w:tr>
      <w:tr>
        <w:trPr>
          <w:cantSplit w:val="true"/>
        </w:trPr>
        <w:tc>
          <w:tcPr>
            <w:tcW w:type="dxa" w:w="1440"/>
            <w:tcMar>
              <w:top w:w="80" w:type="dxa"/>
              <w:start w:w="90" w:type="dxa"/>
              <w:bottom w:w="80" w:type="dxa"/>
              <w:end w:w="90" w:type="dxa"/>
            </w:tcMar>
            <w:vAlign w:val="center"/>
          </w:tcPr>
          <w:p>
            <w:r>
              <w:rPr>
                <w:rFonts w:ascii="Liberation Sans" w:hAnsi="Liberation Sans"/>
                <w:color w:val="1C2430"/>
                <w:sz w:val="16"/>
              </w:rPr>
              <w:t>Funcțional</w:t>
            </w:r>
          </w:p>
        </w:tc>
        <w:tc>
          <w:tcPr>
            <w:tcW w:type="dxa" w:w="3744"/>
            <w:tcMar>
              <w:top w:w="80" w:type="dxa"/>
              <w:start w:w="90" w:type="dxa"/>
              <w:bottom w:w="80" w:type="dxa"/>
              <w:end w:w="90" w:type="dxa"/>
            </w:tcMar>
            <w:vAlign w:val="center"/>
          </w:tcPr>
          <w:p>
            <w:r>
              <w:rPr>
                <w:rFonts w:ascii="Liberation Sans" w:hAnsi="Liberation Sans"/>
                <w:color w:val="1C2430"/>
                <w:sz w:val="16"/>
              </w:rPr>
              <w:t>Funcția normală a țesutului/organului</w:t>
            </w:r>
          </w:p>
        </w:tc>
        <w:tc>
          <w:tcPr>
            <w:tcW w:type="dxa" w:w="4176"/>
            <w:tcMar>
              <w:top w:w="80" w:type="dxa"/>
              <w:start w:w="90" w:type="dxa"/>
              <w:bottom w:w="80" w:type="dxa"/>
              <w:end w:w="90" w:type="dxa"/>
            </w:tcMar>
            <w:vAlign w:val="center"/>
          </w:tcPr>
          <w:p>
            <w:r>
              <w:rPr>
                <w:rFonts w:ascii="Liberation Sans" w:hAnsi="Liberation Sans"/>
                <w:color w:val="1C2430"/>
                <w:sz w:val="16"/>
              </w:rPr>
              <w:t>Perfuzie, electrofiziologie, endpoint funcțional</w:t>
            </w:r>
          </w:p>
        </w:tc>
      </w:tr>
    </w:tbl>
    <w:p>
      <w:pPr>
        <w:spacing w:after="20"/>
      </w:pPr>
    </w:p>
    <w:p>
      <w:r>
        <w:rPr>
          <w:rFonts w:ascii="Liberation Sans" w:hAnsi="Liberation Sans"/>
          <w:color w:val="1C2430"/>
          <w:sz w:val="19"/>
        </w:rPr>
        <w:t>Sterilizarea prin radiație poate încetini putrefacția în timp ce reduce viabilitatea celulară. Prin urmare, „nu putrezește repede” nu este echivalent cu „rămâne viu”.</w:t>
      </w:r>
    </w:p>
    <w:p>
      <w:pPr>
        <w:pStyle w:val="Heading1"/>
      </w:pPr>
      <w:r>
        <w:t>6. Dovezi cross-species</w:t>
      </w:r>
    </w:p>
    <w:p>
      <w:pPr>
        <w:pStyle w:val="Heading2"/>
      </w:pPr>
      <w:r>
        <w:t>6.1 Bacterii și microorganisme</w:t>
      </w:r>
    </w:p>
    <w:p>
      <w:r>
        <w:rPr>
          <w:rFonts w:ascii="Liberation Sans" w:hAnsi="Liberation Sans"/>
          <w:color w:val="1C2430"/>
          <w:sz w:val="19"/>
        </w:rPr>
        <w:t>Protonii și alte radiații ionizante pot reduce masiv încărcătura microbiană. Acest lucru poate conserva materialul biologic prin reducerea putrefacției, dar reprezintă uciderea microorganismelor, nu conservarea lor vie. Unele specii/spori sunt mai rezistenți, ceea ce arată heterogenitate biologică, nu nemurire.</w:t>
      </w:r>
    </w:p>
    <w:p>
      <w:pPr>
        <w:pStyle w:val="Heading2"/>
      </w:pPr>
      <w:r>
        <w:t>6.2 Celule mamifere</w:t>
      </w:r>
    </w:p>
    <w:p>
      <w:r>
        <w:rPr>
          <w:rFonts w:ascii="Liberation Sans" w:hAnsi="Liberation Sans"/>
          <w:color w:val="1C2430"/>
          <w:sz w:val="19"/>
        </w:rPr>
        <w:t>Culturile celulare expuse la protoni arată răspuns dependent de doză în clonogenic survival, metabolism și DNA damage. Regimul high-energy transmission rămâne apropiat de low-LET photon-like biology, fără un „switch” de preservation indus de energie.</w:t>
      </w:r>
    </w:p>
    <w:p>
      <w:pPr>
        <w:pStyle w:val="Heading2"/>
      </w:pPr>
      <w:r>
        <w:t>6.3 Țesuturi și animale</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cantSplit w:val="true"/>
        </w:trPr>
        <w:tc>
          <w:tcPr>
            <w:tcW w:type="dxa" w:w="2016"/>
            <w:shd w:fill="17365D"/>
            <w:tcMar>
              <w:top w:w="80" w:type="dxa"/>
              <w:start w:w="90" w:type="dxa"/>
              <w:bottom w:w="80" w:type="dxa"/>
              <w:end w:w="90" w:type="dxa"/>
            </w:tcMar>
          </w:tcPr>
          <w:p>
            <w:pPr>
              <w:jc w:val="center"/>
            </w:pPr>
            <w:r>
              <w:rPr>
                <w:rFonts w:ascii="Liberation Sans" w:hAnsi="Liberation Sans"/>
                <w:b/>
                <w:color w:val="FFFFFF"/>
                <w:sz w:val="16"/>
              </w:rPr>
              <w:t>Model</w:t>
            </w:r>
          </w:p>
        </w:tc>
        <w:tc>
          <w:tcPr>
            <w:tcW w:type="dxa" w:w="3024"/>
            <w:shd w:fill="17365D"/>
            <w:tcMar>
              <w:top w:w="80" w:type="dxa"/>
              <w:start w:w="90" w:type="dxa"/>
              <w:bottom w:w="80" w:type="dxa"/>
              <w:end w:w="90" w:type="dxa"/>
            </w:tcMar>
          </w:tcPr>
          <w:p>
            <w:pPr>
              <w:jc w:val="center"/>
            </w:pPr>
            <w:r>
              <w:rPr>
                <w:rFonts w:ascii="Liberation Sans" w:hAnsi="Liberation Sans"/>
                <w:b/>
                <w:color w:val="FFFFFF"/>
                <w:sz w:val="16"/>
              </w:rPr>
              <w:t>Comparație</w:t>
            </w:r>
          </w:p>
        </w:tc>
        <w:tc>
          <w:tcPr>
            <w:tcW w:type="dxa" w:w="4320"/>
            <w:shd w:fill="17365D"/>
            <w:tcMar>
              <w:top w:w="80" w:type="dxa"/>
              <w:start w:w="90" w:type="dxa"/>
              <w:bottom w:w="80" w:type="dxa"/>
              <w:end w:w="90" w:type="dxa"/>
            </w:tcMar>
          </w:tcPr>
          <w:p>
            <w:pPr>
              <w:jc w:val="center"/>
            </w:pPr>
            <w:r>
              <w:rPr>
                <w:rFonts w:ascii="Liberation Sans" w:hAnsi="Liberation Sans"/>
                <w:b/>
                <w:color w:val="FFFFFF"/>
                <w:sz w:val="16"/>
              </w:rPr>
              <w:t>Rezultat</w:t>
            </w:r>
          </w:p>
        </w:tc>
      </w:tr>
      <w:tr>
        <w:trPr>
          <w:cantSplit w:val="true"/>
        </w:trPr>
        <w:tc>
          <w:tcPr>
            <w:tcW w:type="dxa" w:w="2016"/>
            <w:tcMar>
              <w:top w:w="80" w:type="dxa"/>
              <w:start w:w="90" w:type="dxa"/>
              <w:bottom w:w="80" w:type="dxa"/>
              <w:end w:w="90" w:type="dxa"/>
            </w:tcMar>
            <w:vAlign w:val="center"/>
          </w:tcPr>
          <w:p>
            <w:r>
              <w:rPr>
                <w:rFonts w:ascii="Liberation Sans" w:hAnsi="Liberation Sans"/>
                <w:color w:val="1C2430"/>
                <w:sz w:val="16"/>
              </w:rPr>
              <w:t>Creier șobolan pMBRT</w:t>
            </w:r>
          </w:p>
        </w:tc>
        <w:tc>
          <w:tcPr>
            <w:tcW w:type="dxa" w:w="3024"/>
            <w:tcMar>
              <w:top w:w="80" w:type="dxa"/>
              <w:start w:w="90" w:type="dxa"/>
              <w:bottom w:w="80" w:type="dxa"/>
              <w:end w:w="90" w:type="dxa"/>
            </w:tcMar>
            <w:vAlign w:val="center"/>
          </w:tcPr>
          <w:p>
            <w:r>
              <w:rPr>
                <w:rFonts w:ascii="Liberation Sans" w:hAnsi="Liberation Sans"/>
                <w:color w:val="1C2430"/>
                <w:sz w:val="16"/>
              </w:rPr>
              <w:t>Aceeași doză medie, conventional vs minibeam</w:t>
            </w:r>
          </w:p>
        </w:tc>
        <w:tc>
          <w:tcPr>
            <w:tcW w:type="dxa" w:w="4320"/>
            <w:tcMar>
              <w:top w:w="80" w:type="dxa"/>
              <w:start w:w="90" w:type="dxa"/>
              <w:bottom w:w="80" w:type="dxa"/>
              <w:end w:w="90" w:type="dxa"/>
            </w:tcMar>
            <w:vAlign w:val="center"/>
          </w:tcPr>
          <w:p>
            <w:r>
              <w:rPr>
                <w:rFonts w:ascii="Liberation Sans" w:hAnsi="Liberation Sans"/>
                <w:color w:val="1C2430"/>
                <w:sz w:val="16"/>
              </w:rPr>
              <w:t>Minibeam: damage cutanat și cerebral mult redus.</w:t>
            </w:r>
          </w:p>
        </w:tc>
      </w:tr>
      <w:tr>
        <w:trPr>
          <w:cantSplit w:val="true"/>
        </w:trPr>
        <w:tc>
          <w:tcPr>
            <w:tcW w:type="dxa" w:w="2016"/>
            <w:tcMar>
              <w:top w:w="80" w:type="dxa"/>
              <w:start w:w="90" w:type="dxa"/>
              <w:bottom w:w="80" w:type="dxa"/>
              <w:end w:w="90" w:type="dxa"/>
            </w:tcMar>
            <w:vAlign w:val="center"/>
          </w:tcPr>
          <w:p>
            <w:r>
              <w:rPr>
                <w:rFonts w:ascii="Liberation Sans" w:hAnsi="Liberation Sans"/>
                <w:color w:val="1C2430"/>
                <w:sz w:val="16"/>
              </w:rPr>
              <w:t>Ureche șoarece minibeam</w:t>
            </w:r>
          </w:p>
        </w:tc>
        <w:tc>
          <w:tcPr>
            <w:tcW w:type="dxa" w:w="3024"/>
            <w:tcMar>
              <w:top w:w="80" w:type="dxa"/>
              <w:start w:w="90" w:type="dxa"/>
              <w:bottom w:w="80" w:type="dxa"/>
              <w:end w:w="90" w:type="dxa"/>
            </w:tcMar>
            <w:vAlign w:val="center"/>
          </w:tcPr>
          <w:p>
            <w:r>
              <w:rPr>
                <w:rFonts w:ascii="Liberation Sans" w:hAnsi="Liberation Sans"/>
                <w:color w:val="1C2430"/>
                <w:sz w:val="16"/>
              </w:rPr>
              <w:t>Dimensiunea/spacing-ul fasciculului variate</w:t>
            </w:r>
          </w:p>
        </w:tc>
        <w:tc>
          <w:tcPr>
            <w:tcW w:type="dxa" w:w="4320"/>
            <w:tcMar>
              <w:top w:w="80" w:type="dxa"/>
              <w:start w:w="90" w:type="dxa"/>
              <w:bottom w:w="80" w:type="dxa"/>
              <w:end w:w="90" w:type="dxa"/>
            </w:tcMar>
            <w:vAlign w:val="center"/>
          </w:tcPr>
          <w:p>
            <w:r>
              <w:rPr>
                <w:rFonts w:ascii="Liberation Sans" w:hAnsi="Liberation Sans"/>
                <w:color w:val="1C2430"/>
                <w:sz w:val="16"/>
              </w:rPr>
              <w:t>Beam-size/spacing mai mic → reacție tisulară mult redusă.</w:t>
            </w:r>
          </w:p>
        </w:tc>
      </w:tr>
      <w:tr>
        <w:trPr>
          <w:cantSplit w:val="true"/>
        </w:trPr>
        <w:tc>
          <w:tcPr>
            <w:tcW w:type="dxa" w:w="2016"/>
            <w:tcMar>
              <w:top w:w="80" w:type="dxa"/>
              <w:start w:w="90" w:type="dxa"/>
              <w:bottom w:w="80" w:type="dxa"/>
              <w:end w:w="90" w:type="dxa"/>
            </w:tcMar>
            <w:vAlign w:val="center"/>
          </w:tcPr>
          <w:p>
            <w:r>
              <w:rPr>
                <w:rFonts w:ascii="Liberation Sans" w:hAnsi="Liberation Sans"/>
                <w:color w:val="1C2430"/>
                <w:sz w:val="16"/>
              </w:rPr>
              <w:t>Plămân șobolan microbeam FLASH</w:t>
            </w:r>
          </w:p>
        </w:tc>
        <w:tc>
          <w:tcPr>
            <w:tcW w:type="dxa" w:w="3024"/>
            <w:tcMar>
              <w:top w:w="80" w:type="dxa"/>
              <w:start w:w="90" w:type="dxa"/>
              <w:bottom w:w="80" w:type="dxa"/>
              <w:end w:w="90" w:type="dxa"/>
            </w:tcMar>
            <w:vAlign w:val="center"/>
          </w:tcPr>
          <w:p>
            <w:r>
              <w:rPr>
                <w:rFonts w:ascii="Liberation Sans" w:hAnsi="Liberation Sans"/>
                <w:color w:val="1C2430"/>
                <w:sz w:val="16"/>
              </w:rPr>
              <w:t>50 µm vs 500 µm vs broad beam</w:t>
            </w:r>
          </w:p>
        </w:tc>
        <w:tc>
          <w:tcPr>
            <w:tcW w:type="dxa" w:w="4320"/>
            <w:tcMar>
              <w:top w:w="80" w:type="dxa"/>
              <w:start w:w="90" w:type="dxa"/>
              <w:bottom w:w="80" w:type="dxa"/>
              <w:end w:w="90" w:type="dxa"/>
            </w:tcMar>
            <w:vAlign w:val="center"/>
          </w:tcPr>
          <w:p>
            <w:r>
              <w:rPr>
                <w:rFonts w:ascii="Liberation Sans" w:hAnsi="Liberation Sans"/>
                <w:color w:val="1C2430"/>
                <w:sz w:val="16"/>
              </w:rPr>
              <w:t>50 µm a tolerat peak doses foarte mari cu fibroză mult mai mică.</w:t>
            </w:r>
          </w:p>
        </w:tc>
      </w:tr>
      <w:tr>
        <w:trPr>
          <w:cantSplit w:val="true"/>
        </w:trPr>
        <w:tc>
          <w:tcPr>
            <w:tcW w:type="dxa" w:w="2016"/>
            <w:tcMar>
              <w:top w:w="80" w:type="dxa"/>
              <w:start w:w="90" w:type="dxa"/>
              <w:bottom w:w="80" w:type="dxa"/>
              <w:end w:w="90" w:type="dxa"/>
            </w:tcMar>
            <w:vAlign w:val="center"/>
          </w:tcPr>
          <w:p>
            <w:r>
              <w:rPr>
                <w:rFonts w:ascii="Liberation Sans" w:hAnsi="Liberation Sans"/>
                <w:color w:val="1C2430"/>
                <w:sz w:val="16"/>
              </w:rPr>
              <w:t>Șoarece proton FLASH</w:t>
            </w:r>
          </w:p>
        </w:tc>
        <w:tc>
          <w:tcPr>
            <w:tcW w:type="dxa" w:w="3024"/>
            <w:tcMar>
              <w:top w:w="80" w:type="dxa"/>
              <w:start w:w="90" w:type="dxa"/>
              <w:bottom w:w="80" w:type="dxa"/>
              <w:end w:w="90" w:type="dxa"/>
            </w:tcMar>
            <w:vAlign w:val="center"/>
          </w:tcPr>
          <w:p>
            <w:r>
              <w:rPr>
                <w:rFonts w:ascii="Liberation Sans" w:hAnsi="Liberation Sans"/>
                <w:color w:val="1C2430"/>
                <w:sz w:val="16"/>
              </w:rPr>
              <w:t>FLASH vs convențional</w:t>
            </w:r>
          </w:p>
        </w:tc>
        <w:tc>
          <w:tcPr>
            <w:tcW w:type="dxa" w:w="4320"/>
            <w:tcMar>
              <w:top w:w="80" w:type="dxa"/>
              <w:start w:w="90" w:type="dxa"/>
              <w:bottom w:w="80" w:type="dxa"/>
              <w:end w:w="90" w:type="dxa"/>
            </w:tcMar>
            <w:vAlign w:val="center"/>
          </w:tcPr>
          <w:p>
            <w:r>
              <w:rPr>
                <w:rFonts w:ascii="Liberation Sans" w:hAnsi="Liberation Sans"/>
                <w:color w:val="1C2430"/>
                <w:sz w:val="16"/>
              </w:rPr>
              <w:t>Mai puțin acute skin damage și fibrosis în modelul preclinic.</w:t>
            </w:r>
          </w:p>
        </w:tc>
      </w:tr>
    </w:tbl>
    <w:p>
      <w:pPr>
        <w:spacing w:after="20"/>
      </w:pPr>
    </w:p>
    <w:p>
      <w:pPr>
        <w:pStyle w:val="Heading1"/>
      </w:pPr>
      <w:r>
        <w:t>7. Doză locală foarte mare + volum foarte mic</w:t>
      </w:r>
    </w:p>
    <w:p>
      <w:r>
        <w:rPr>
          <w:rFonts w:ascii="Liberation Sans" w:hAnsi="Liberation Sans"/>
          <w:color w:val="1C2430"/>
          <w:sz w:val="19"/>
        </w:rPr>
        <w:t>Aceasta este reformularea care a produs cel mai mult progres. Microbeam/minibeam radiation oferă analogii controlate: peak dose poate fi foarte mare pe piste foarte înguste, iar zonele valley rămân mult mai puțin afectate.</w:t>
      </w:r>
    </w:p>
    <w:p>
      <w:pPr>
        <w:pStyle w:val="Heading2"/>
      </w:pPr>
      <w:r>
        <w:t>7.1 pMBRT în creier de șobolan</w:t>
      </w:r>
    </w:p>
    <w:p>
      <w:r>
        <w:rPr>
          <w:rFonts w:ascii="Liberation Sans" w:hAnsi="Liberation Sans"/>
          <w:color w:val="1C2430"/>
          <w:sz w:val="19"/>
        </w:rPr>
        <w:t>Într-un experiment publicat, conventional proton irradiation și proton minibeam radiation therapy au livrat aceeași doză medie (~25 Gy) la adâncime, însă distribuția minibeam a produs mult mai puțin damage al pielii și creierului. Aceeași doză medie, altă geometrie, alt rezultat biologic.</w:t>
      </w:r>
    </w:p>
    <w:p>
      <w:pPr>
        <w:pStyle w:val="Heading2"/>
      </w:pPr>
      <w:r>
        <w:t>7.2 Experimentul pe ureche de șoarece</w:t>
      </w:r>
    </w:p>
    <w:p>
      <w:r>
        <w:rPr>
          <w:rFonts w:ascii="Liberation Sans" w:hAnsi="Liberation Sans"/>
          <w:color w:val="1C2430"/>
          <w:sz w:val="19"/>
        </w:rPr>
        <w:t>Reducerea dimensiunii fasciculului și creșterea separării dintre peak-uri au scăzut dramatic reacția tisulară. Acest experiment izolează geometria ca variabilă critică.</w:t>
      </w:r>
    </w:p>
    <w:p>
      <w:pPr>
        <w:pStyle w:val="Heading2"/>
      </w:pPr>
      <w:r>
        <w:t>7.3 Plămân de șobolan: ruperea simetriei de scară</w:t>
      </w:r>
    </w:p>
    <w:p>
      <w:r>
        <w:rPr>
          <w:rFonts w:ascii="Liberation Sans" w:hAnsi="Liberation Sans"/>
          <w:color w:val="1C2430"/>
          <w:sz w:val="19"/>
        </w:rPr>
        <w:t>Geometriile 50 µm/400 µm și 500 µm/4000 µm au aceeași fracție acoperită de peak: 12.5%. Totuși, la peak doses comparabile, banda de 500 µm produce mult mai multă fibroză chiar atunci când valley dose este mai mică. Rezultatul arată că procentul de țesut cruțat nu este suficient; contează lățimea absolută a zonei distruse.</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cantSplit w:val="true"/>
        </w:trPr>
        <w:tc>
          <w:tcPr>
            <w:tcW w:type="dxa" w:w="1656"/>
            <w:shd w:fill="17365D"/>
            <w:tcMar>
              <w:top w:w="80" w:type="dxa"/>
              <w:start w:w="90" w:type="dxa"/>
              <w:bottom w:w="80" w:type="dxa"/>
              <w:end w:w="90" w:type="dxa"/>
            </w:tcMar>
          </w:tcPr>
          <w:p>
            <w:pPr>
              <w:jc w:val="center"/>
            </w:pPr>
            <w:r>
              <w:rPr>
                <w:rFonts w:ascii="Liberation Sans" w:hAnsi="Liberation Sans"/>
                <w:b/>
                <w:color w:val="FFFFFF"/>
                <w:sz w:val="15"/>
              </w:rPr>
              <w:t>Peak aproximativ</w:t>
            </w:r>
          </w:p>
        </w:tc>
        <w:tc>
          <w:tcPr>
            <w:tcW w:type="dxa" w:w="2592"/>
            <w:shd w:fill="17365D"/>
            <w:tcMar>
              <w:top w:w="80" w:type="dxa"/>
              <w:start w:w="90" w:type="dxa"/>
              <w:bottom w:w="80" w:type="dxa"/>
              <w:end w:w="90" w:type="dxa"/>
            </w:tcMar>
          </w:tcPr>
          <w:p>
            <w:pPr>
              <w:jc w:val="center"/>
            </w:pPr>
            <w:r>
              <w:rPr>
                <w:rFonts w:ascii="Liberation Sans" w:hAnsi="Liberation Sans"/>
                <w:b/>
                <w:color w:val="FFFFFF"/>
                <w:sz w:val="15"/>
              </w:rPr>
              <w:t>50 µm</w:t>
            </w:r>
          </w:p>
        </w:tc>
        <w:tc>
          <w:tcPr>
            <w:tcW w:type="dxa" w:w="2592"/>
            <w:shd w:fill="17365D"/>
            <w:tcMar>
              <w:top w:w="80" w:type="dxa"/>
              <w:start w:w="90" w:type="dxa"/>
              <w:bottom w:w="80" w:type="dxa"/>
              <w:end w:w="90" w:type="dxa"/>
            </w:tcMar>
          </w:tcPr>
          <w:p>
            <w:pPr>
              <w:jc w:val="center"/>
            </w:pPr>
            <w:r>
              <w:rPr>
                <w:rFonts w:ascii="Liberation Sans" w:hAnsi="Liberation Sans"/>
                <w:b/>
                <w:color w:val="FFFFFF"/>
                <w:sz w:val="15"/>
              </w:rPr>
              <w:t>500 µm</w:t>
            </w:r>
          </w:p>
        </w:tc>
        <w:tc>
          <w:tcPr>
            <w:tcW w:type="dxa" w:w="2520"/>
            <w:shd w:fill="17365D"/>
            <w:tcMar>
              <w:top w:w="80" w:type="dxa"/>
              <w:start w:w="90" w:type="dxa"/>
              <w:bottom w:w="80" w:type="dxa"/>
              <w:end w:w="90" w:type="dxa"/>
            </w:tcMar>
          </w:tcPr>
          <w:p>
            <w:pPr>
              <w:jc w:val="center"/>
            </w:pPr>
            <w:r>
              <w:rPr>
                <w:rFonts w:ascii="Liberation Sans" w:hAnsi="Liberation Sans"/>
                <w:b/>
                <w:color w:val="FFFFFF"/>
                <w:sz w:val="15"/>
              </w:rPr>
              <w:t>Concluzie</w:t>
            </w:r>
          </w:p>
        </w:tc>
      </w:tr>
      <w:tr>
        <w:trPr>
          <w:cantSplit w:val="true"/>
        </w:trPr>
        <w:tc>
          <w:tcPr>
            <w:tcW w:type="dxa" w:w="1656"/>
            <w:tcMar>
              <w:top w:w="80" w:type="dxa"/>
              <w:start w:w="90" w:type="dxa"/>
              <w:bottom w:w="80" w:type="dxa"/>
              <w:end w:w="90" w:type="dxa"/>
            </w:tcMar>
            <w:vAlign w:val="center"/>
          </w:tcPr>
          <w:p>
            <w:r>
              <w:rPr>
                <w:rFonts w:ascii="Liberation Sans" w:hAnsi="Liberation Sans"/>
                <w:color w:val="1C2430"/>
                <w:sz w:val="15"/>
              </w:rPr>
              <w:t>~250 Gy</w:t>
            </w:r>
          </w:p>
        </w:tc>
        <w:tc>
          <w:tcPr>
            <w:tcW w:type="dxa" w:w="2592"/>
            <w:tcMar>
              <w:top w:w="80" w:type="dxa"/>
              <w:start w:w="90" w:type="dxa"/>
              <w:bottom w:w="80" w:type="dxa"/>
              <w:end w:w="90" w:type="dxa"/>
            </w:tcMar>
            <w:vAlign w:val="center"/>
          </w:tcPr>
          <w:p>
            <w:r>
              <w:rPr>
                <w:rFonts w:ascii="Liberation Sans" w:hAnsi="Liberation Sans"/>
                <w:color w:val="1C2430"/>
                <w:sz w:val="15"/>
              </w:rPr>
              <w:t>244 Gy peak; 5.94 Gy valley; fibrosis ≈1.5</w:t>
            </w:r>
          </w:p>
        </w:tc>
        <w:tc>
          <w:tcPr>
            <w:tcW w:type="dxa" w:w="2592"/>
            <w:tcMar>
              <w:top w:w="80" w:type="dxa"/>
              <w:start w:w="90" w:type="dxa"/>
              <w:bottom w:w="80" w:type="dxa"/>
              <w:end w:w="90" w:type="dxa"/>
            </w:tcMar>
            <w:vAlign w:val="center"/>
          </w:tcPr>
          <w:p>
            <w:r>
              <w:rPr>
                <w:rFonts w:ascii="Liberation Sans" w:hAnsi="Liberation Sans"/>
                <w:color w:val="1C2430"/>
                <w:sz w:val="15"/>
              </w:rPr>
              <w:t>254 Gy peak; 3.36 Gy valley; fibrosis ≈4.67</w:t>
            </w:r>
          </w:p>
        </w:tc>
        <w:tc>
          <w:tcPr>
            <w:tcW w:type="dxa" w:w="2520"/>
            <w:tcMar>
              <w:top w:w="80" w:type="dxa"/>
              <w:start w:w="90" w:type="dxa"/>
              <w:bottom w:w="80" w:type="dxa"/>
              <w:end w:w="90" w:type="dxa"/>
            </w:tcMar>
            <w:vAlign w:val="center"/>
          </w:tcPr>
          <w:p>
            <w:r>
              <w:rPr>
                <w:rFonts w:ascii="Liberation Sans" w:hAnsi="Liberation Sans"/>
                <w:color w:val="1C2430"/>
                <w:sz w:val="15"/>
              </w:rPr>
              <w:t>~3.11× fibroză la pista lată, deși valley este mai mică.</w:t>
            </w:r>
          </w:p>
        </w:tc>
      </w:tr>
      <w:tr>
        <w:trPr>
          <w:cantSplit w:val="true"/>
        </w:trPr>
        <w:tc>
          <w:tcPr>
            <w:tcW w:type="dxa" w:w="1656"/>
            <w:tcMar>
              <w:top w:w="80" w:type="dxa"/>
              <w:start w:w="90" w:type="dxa"/>
              <w:bottom w:w="80" w:type="dxa"/>
              <w:end w:w="90" w:type="dxa"/>
            </w:tcMar>
            <w:vAlign w:val="center"/>
          </w:tcPr>
          <w:p>
            <w:r>
              <w:rPr>
                <w:rFonts w:ascii="Liberation Sans" w:hAnsi="Liberation Sans"/>
                <w:color w:val="1C2430"/>
                <w:sz w:val="15"/>
              </w:rPr>
              <w:t>~500 Gy</w:t>
            </w:r>
          </w:p>
        </w:tc>
        <w:tc>
          <w:tcPr>
            <w:tcW w:type="dxa" w:w="2592"/>
            <w:tcMar>
              <w:top w:w="80" w:type="dxa"/>
              <w:start w:w="90" w:type="dxa"/>
              <w:bottom w:w="80" w:type="dxa"/>
              <w:end w:w="90" w:type="dxa"/>
            </w:tcMar>
            <w:vAlign w:val="center"/>
          </w:tcPr>
          <w:p>
            <w:r>
              <w:rPr>
                <w:rFonts w:ascii="Liberation Sans" w:hAnsi="Liberation Sans"/>
                <w:color w:val="1C2430"/>
                <w:sz w:val="15"/>
              </w:rPr>
              <w:t>488 Gy peak; 11.9 Gy valley; fibrosis ≈2.25</w:t>
            </w:r>
          </w:p>
        </w:tc>
        <w:tc>
          <w:tcPr>
            <w:tcW w:type="dxa" w:w="2592"/>
            <w:tcMar>
              <w:top w:w="80" w:type="dxa"/>
              <w:start w:w="90" w:type="dxa"/>
              <w:bottom w:w="80" w:type="dxa"/>
              <w:end w:w="90" w:type="dxa"/>
            </w:tcMar>
            <w:vAlign w:val="center"/>
          </w:tcPr>
          <w:p>
            <w:r>
              <w:rPr>
                <w:rFonts w:ascii="Liberation Sans" w:hAnsi="Liberation Sans"/>
                <w:color w:val="1C2430"/>
                <w:sz w:val="15"/>
              </w:rPr>
              <w:t>509 Gy peak; 6.72 Gy valley; fibrosis ≈4.0</w:t>
            </w:r>
          </w:p>
        </w:tc>
        <w:tc>
          <w:tcPr>
            <w:tcW w:type="dxa" w:w="2520"/>
            <w:tcMar>
              <w:top w:w="80" w:type="dxa"/>
              <w:start w:w="90" w:type="dxa"/>
              <w:bottom w:w="80" w:type="dxa"/>
              <w:end w:w="90" w:type="dxa"/>
            </w:tcMar>
            <w:vAlign w:val="center"/>
          </w:tcPr>
          <w:p>
            <w:r>
              <w:rPr>
                <w:rFonts w:ascii="Liberation Sans" w:hAnsi="Liberation Sans"/>
                <w:color w:val="1C2430"/>
                <w:sz w:val="15"/>
              </w:rPr>
              <w:t>~1.78× fibroză la pista lată, din nou cu valley mai mică.</w:t>
            </w:r>
          </w:p>
        </w:tc>
      </w:tr>
    </w:tbl>
    <w:p>
      <w:pPr>
        <w:spacing w:after="20"/>
      </w:pPr>
    </w:p>
    <w:p>
      <w:pPr>
        <w:pStyle w:val="Heading1"/>
      </w:pPr>
      <w:r>
        <w:t>8. Simularea hidden-pattern: 1.152 combinații</w:t>
      </w:r>
    </w:p>
    <w:p>
      <w:r>
        <w:rPr>
          <w:rFonts w:ascii="Liberation Sans" w:hAnsi="Liberation Sans"/>
          <w:color w:val="1C2430"/>
          <w:sz w:val="19"/>
        </w:rPr>
        <w:t>Problem Solver a construit un sweep euristic, constrâns de literatura disponibilă, pe 1.152 combinații de clasă de energie, doză absorbită, beam width și mod conventional/FLASH-like. Modelul NU este predictor clinic și nu oferă doză pentru oameni.</w:t>
      </w:r>
    </w:p>
    <w:tbl>
      <w:tblPr>
        <w:tblStyle w:val="TableGrid"/>
        <w:tblW w:type="auto" w:w="0"/>
        <w:jc w:val="center"/>
        <w:tblLayout w:type="fixed"/>
        <w:tblLook w:firstColumn="1" w:firstRow="1" w:lastColumn="0" w:lastRow="0" w:noHBand="0" w:noVBand="1" w:val="04A0"/>
      </w:tblPr>
      <w:tblGrid>
        <w:gridCol w:w="5040"/>
        <w:gridCol w:w="5040"/>
      </w:tblGrid>
      <w:tr>
        <w:trPr>
          <w:tblHeader w:val="true"/>
          <w:cantSplit w:val="true"/>
        </w:trPr>
        <w:tc>
          <w:tcPr>
            <w:tcW w:type="dxa" w:w="5472"/>
            <w:shd w:fill="17365D"/>
            <w:tcMar>
              <w:top w:w="80" w:type="dxa"/>
              <w:start w:w="90" w:type="dxa"/>
              <w:bottom w:w="80" w:type="dxa"/>
              <w:end w:w="90" w:type="dxa"/>
            </w:tcMar>
          </w:tcPr>
          <w:p>
            <w:pPr>
              <w:jc w:val="center"/>
            </w:pPr>
            <w:r>
              <w:rPr>
                <w:rFonts w:ascii="Liberation Sans" w:hAnsi="Liberation Sans"/>
                <w:b/>
                <w:color w:val="FFFFFF"/>
                <w:sz w:val="17"/>
              </w:rPr>
              <w:t>Variabilă</w:t>
            </w:r>
          </w:p>
        </w:tc>
        <w:tc>
          <w:tcPr>
            <w:tcW w:type="dxa" w:w="3888"/>
            <w:shd w:fill="17365D"/>
            <w:tcMar>
              <w:top w:w="80" w:type="dxa"/>
              <w:start w:w="90" w:type="dxa"/>
              <w:bottom w:w="80" w:type="dxa"/>
              <w:end w:w="90" w:type="dxa"/>
            </w:tcMar>
          </w:tcPr>
          <w:p>
            <w:pPr>
              <w:jc w:val="center"/>
            </w:pPr>
            <w:r>
              <w:rPr>
                <w:rFonts w:ascii="Liberation Sans" w:hAnsi="Liberation Sans"/>
                <w:b/>
                <w:color w:val="FFFFFF"/>
                <w:sz w:val="17"/>
              </w:rPr>
              <w:t>Corelație euristică cu injury</w:t>
            </w:r>
          </w:p>
        </w:tc>
      </w:tr>
      <w:tr>
        <w:trPr>
          <w:cantSplit w:val="true"/>
        </w:trPr>
        <w:tc>
          <w:tcPr>
            <w:tcW w:type="dxa" w:w="5472"/>
            <w:tcMar>
              <w:top w:w="80" w:type="dxa"/>
              <w:start w:w="90" w:type="dxa"/>
              <w:bottom w:w="80" w:type="dxa"/>
              <w:end w:w="90" w:type="dxa"/>
            </w:tcMar>
            <w:vAlign w:val="center"/>
          </w:tcPr>
          <w:p>
            <w:r>
              <w:rPr>
                <w:rFonts w:ascii="Liberation Sans" w:hAnsi="Liberation Sans"/>
                <w:color w:val="1C2430"/>
                <w:sz w:val="17"/>
              </w:rPr>
              <w:t>log10(doză absorbită)</w:t>
            </w:r>
          </w:p>
        </w:tc>
        <w:tc>
          <w:tcPr>
            <w:tcW w:type="dxa" w:w="3888"/>
            <w:tcMar>
              <w:top w:w="80" w:type="dxa"/>
              <w:start w:w="90" w:type="dxa"/>
              <w:bottom w:w="80" w:type="dxa"/>
              <w:end w:w="90" w:type="dxa"/>
            </w:tcMar>
            <w:vAlign w:val="center"/>
          </w:tcPr>
          <w:p>
            <w:r>
              <w:rPr>
                <w:rFonts w:ascii="Liberation Sans" w:hAnsi="Liberation Sans"/>
                <w:color w:val="1C2430"/>
                <w:sz w:val="17"/>
              </w:rPr>
              <w:t>+0.635</w:t>
            </w:r>
          </w:p>
        </w:tc>
      </w:tr>
      <w:tr>
        <w:trPr>
          <w:cantSplit w:val="true"/>
        </w:trPr>
        <w:tc>
          <w:tcPr>
            <w:tcW w:type="dxa" w:w="5472"/>
            <w:tcMar>
              <w:top w:w="80" w:type="dxa"/>
              <w:start w:w="90" w:type="dxa"/>
              <w:bottom w:w="80" w:type="dxa"/>
              <w:end w:w="90" w:type="dxa"/>
            </w:tcMar>
            <w:vAlign w:val="center"/>
          </w:tcPr>
          <w:p>
            <w:r>
              <w:rPr>
                <w:rFonts w:ascii="Liberation Sans" w:hAnsi="Liberation Sans"/>
                <w:color w:val="1C2430"/>
                <w:sz w:val="17"/>
              </w:rPr>
              <w:t>log10(beam width)</w:t>
            </w:r>
          </w:p>
        </w:tc>
        <w:tc>
          <w:tcPr>
            <w:tcW w:type="dxa" w:w="3888"/>
            <w:tcMar>
              <w:top w:w="80" w:type="dxa"/>
              <w:start w:w="90" w:type="dxa"/>
              <w:bottom w:w="80" w:type="dxa"/>
              <w:end w:w="90" w:type="dxa"/>
            </w:tcMar>
            <w:vAlign w:val="center"/>
          </w:tcPr>
          <w:p>
            <w:r>
              <w:rPr>
                <w:rFonts w:ascii="Liberation Sans" w:hAnsi="Liberation Sans"/>
                <w:color w:val="1C2430"/>
                <w:sz w:val="17"/>
              </w:rPr>
              <w:t>+0.494</w:t>
            </w:r>
          </w:p>
        </w:tc>
      </w:tr>
      <w:tr>
        <w:trPr>
          <w:cantSplit w:val="true"/>
        </w:trPr>
        <w:tc>
          <w:tcPr>
            <w:tcW w:type="dxa" w:w="5472"/>
            <w:tcMar>
              <w:top w:w="80" w:type="dxa"/>
              <w:start w:w="90" w:type="dxa"/>
              <w:bottom w:w="80" w:type="dxa"/>
              <w:end w:w="90" w:type="dxa"/>
            </w:tcMar>
            <w:vAlign w:val="center"/>
          </w:tcPr>
          <w:p>
            <w:r>
              <w:rPr>
                <w:rFonts w:ascii="Liberation Sans" w:hAnsi="Liberation Sans"/>
                <w:color w:val="1C2430"/>
                <w:sz w:val="17"/>
              </w:rPr>
              <w:t>log10(energie proton)</w:t>
            </w:r>
          </w:p>
        </w:tc>
        <w:tc>
          <w:tcPr>
            <w:tcW w:type="dxa" w:w="3888"/>
            <w:tcMar>
              <w:top w:w="80" w:type="dxa"/>
              <w:start w:w="90" w:type="dxa"/>
              <w:bottom w:w="80" w:type="dxa"/>
              <w:end w:w="90" w:type="dxa"/>
            </w:tcMar>
            <w:vAlign w:val="center"/>
          </w:tcPr>
          <w:p>
            <w:r>
              <w:rPr>
                <w:rFonts w:ascii="Liberation Sans" w:hAnsi="Liberation Sans"/>
                <w:color w:val="1C2430"/>
                <w:sz w:val="17"/>
              </w:rPr>
              <w:t>−0.005</w:t>
            </w:r>
          </w:p>
        </w:tc>
      </w:tr>
      <w:tr>
        <w:trPr>
          <w:cantSplit w:val="true"/>
        </w:trPr>
        <w:tc>
          <w:tcPr>
            <w:tcW w:type="dxa" w:w="5472"/>
            <w:tcMar>
              <w:top w:w="80" w:type="dxa"/>
              <w:start w:w="90" w:type="dxa"/>
              <w:bottom w:w="80" w:type="dxa"/>
              <w:end w:w="90" w:type="dxa"/>
            </w:tcMar>
            <w:vAlign w:val="center"/>
          </w:tcPr>
          <w:p>
            <w:r>
              <w:rPr>
                <w:rFonts w:ascii="Liberation Sans" w:hAnsi="Liberation Sans"/>
                <w:color w:val="1C2430"/>
                <w:sz w:val="17"/>
              </w:rPr>
              <w:t>FLASH-like</w:t>
            </w:r>
          </w:p>
        </w:tc>
        <w:tc>
          <w:tcPr>
            <w:tcW w:type="dxa" w:w="3888"/>
            <w:tcMar>
              <w:top w:w="80" w:type="dxa"/>
              <w:start w:w="90" w:type="dxa"/>
              <w:bottom w:w="80" w:type="dxa"/>
              <w:end w:w="90" w:type="dxa"/>
            </w:tcMar>
            <w:vAlign w:val="center"/>
          </w:tcPr>
          <w:p>
            <w:r>
              <w:rPr>
                <w:rFonts w:ascii="Liberation Sans" w:hAnsi="Liberation Sans"/>
                <w:color w:val="1C2430"/>
                <w:sz w:val="17"/>
              </w:rPr>
              <w:t>−0.081</w:t>
            </w:r>
          </w:p>
        </w:tc>
      </w:tr>
    </w:tbl>
    <w:p>
      <w:pPr>
        <w:spacing w:after="20"/>
      </w:pPr>
    </w:p>
    <w:p>
      <w:r>
        <w:rPr>
          <w:rFonts w:ascii="Liberation Sans" w:hAnsi="Liberation Sans"/>
          <w:color w:val="1C2430"/>
          <w:sz w:val="19"/>
        </w:rPr>
        <w:t>Pattern-ul: doza absorbită și lățimea absolută domină suprafața de injury; energia nominală per proton are contribuție independentă foarte mică în regimul high-energy low-LET modelat. Când doza absorbită tinde la zero, efectul radiativ tinde la zero — nu apare o stare ascunsă de preservation.</w:t>
      </w:r>
    </w:p>
    <w:p>
      <w:pPr>
        <w:pStyle w:val="Heading1"/>
      </w:pPr>
      <w:r>
        <w:t>9. Two-Gate Spatial Rescue</w:t>
      </w:r>
    </w:p>
    <w:p>
      <w:pPr>
        <w:pStyle w:val="Heading2"/>
      </w:pPr>
      <w:r>
        <w:t>9.1 Gate A — valley/background viability</w:t>
      </w:r>
    </w:p>
    <w:p>
      <w:r>
        <w:rPr>
          <w:rFonts w:ascii="Liberation Sans" w:hAnsi="Liberation Sans"/>
          <w:color w:val="1C2430"/>
          <w:sz w:val="19"/>
        </w:rPr>
        <w:t>Țesutul dintre peak-uri trebuie să rămână suficient de funcțional pentru perfuzie, continuitate structurală, răspuns imun și rezervor de celule repair-competent. Dacă valley burden depășește toleranța, „vecinii sănătoși” nu mai sunt sănătoși.</w:t>
      </w:r>
    </w:p>
    <w:p>
      <w:pPr>
        <w:pStyle w:val="Heading2"/>
      </w:pPr>
      <w:r>
        <w:t>9.2 Gate B — repair distance / lățimea absolută</w:t>
      </w:r>
    </w:p>
    <w:p>
      <w:r>
        <w:rPr>
          <w:rFonts w:ascii="Liberation Sans" w:hAnsi="Liberation Sans"/>
          <w:color w:val="1C2430"/>
          <w:sz w:val="19"/>
        </w:rPr>
        <w:t>Chiar cu valley favorabilă, o bandă distrusă poate deveni prea lată pentru a fi traversată de repair/repopulation eficient. Datele de plămân susțin existența unei scări absolute de repair, dependentă de țesut.</w:t>
      </w:r>
    </w:p>
    <w:p>
      <w:pPr>
        <w:pStyle w:val="Equation"/>
        <w:jc w:val="center"/>
      </w:pPr>
      <w:r>
        <w:rPr>
          <w:rFonts w:ascii="Liberation Mono" w:hAnsi="Liberation Mono"/>
          <w:b w:val="0"/>
          <w:color w:val="1C2430"/>
          <w:sz w:val="18"/>
        </w:rPr>
        <w:t>Spatial rescue = PASS dacă  Valley viability = PASS  ȘI  Repair-distance = PASS</w:t>
      </w:r>
    </w:p>
    <w:p>
      <w:pPr>
        <w:pStyle w:val="Heading2"/>
      </w:pPr>
      <w:r>
        <w:t>9.3 Regression exploratorie</w:t>
      </w:r>
    </w:p>
    <w:tbl>
      <w:tblPr>
        <w:tblStyle w:val="TableGrid"/>
        <w:tblW w:type="auto" w:w="0"/>
        <w:jc w:val="center"/>
        <w:tblLayout w:type="fixed"/>
        <w:tblLook w:firstColumn="1" w:firstRow="1" w:lastColumn="0" w:lastRow="0" w:noHBand="0" w:noVBand="1" w:val="04A0"/>
      </w:tblPr>
      <w:tblGrid>
        <w:gridCol w:w="5040"/>
        <w:gridCol w:w="5040"/>
      </w:tblGrid>
      <w:tr>
        <w:trPr>
          <w:tblHeader w:val="true"/>
          <w:cantSplit w:val="true"/>
        </w:trPr>
        <w:tc>
          <w:tcPr>
            <w:tcW w:type="dxa" w:w="6048"/>
            <w:shd w:fill="17365D"/>
            <w:tcMar>
              <w:top w:w="80" w:type="dxa"/>
              <w:start w:w="90" w:type="dxa"/>
              <w:bottom w:w="80" w:type="dxa"/>
              <w:end w:w="90" w:type="dxa"/>
            </w:tcMar>
          </w:tcPr>
          <w:p>
            <w:pPr>
              <w:jc w:val="center"/>
            </w:pPr>
            <w:r>
              <w:rPr>
                <w:rFonts w:ascii="Liberation Sans" w:hAnsi="Liberation Sans"/>
                <w:b/>
                <w:color w:val="FFFFFF"/>
                <w:sz w:val="16"/>
              </w:rPr>
              <w:t>Model</w:t>
            </w:r>
          </w:p>
        </w:tc>
        <w:tc>
          <w:tcPr>
            <w:tcW w:type="dxa" w:w="3312"/>
            <w:shd w:fill="17365D"/>
            <w:tcMar>
              <w:top w:w="80" w:type="dxa"/>
              <w:start w:w="90" w:type="dxa"/>
              <w:bottom w:w="80" w:type="dxa"/>
              <w:end w:w="90" w:type="dxa"/>
            </w:tcMar>
          </w:tcPr>
          <w:p>
            <w:pPr>
              <w:jc w:val="center"/>
            </w:pPr>
            <w:r>
              <w:rPr>
                <w:rFonts w:ascii="Liberation Sans" w:hAnsi="Liberation Sans"/>
                <w:b/>
                <w:color w:val="FFFFFF"/>
                <w:sz w:val="16"/>
              </w:rPr>
              <w:t>R² in-sample</w:t>
            </w:r>
          </w:p>
        </w:tc>
      </w:tr>
      <w:tr>
        <w:trPr>
          <w:cantSplit w:val="true"/>
        </w:trPr>
        <w:tc>
          <w:tcPr>
            <w:tcW w:type="dxa" w:w="6048"/>
            <w:tcMar>
              <w:top w:w="80" w:type="dxa"/>
              <w:start w:w="90" w:type="dxa"/>
              <w:bottom w:w="80" w:type="dxa"/>
              <w:end w:w="90" w:type="dxa"/>
            </w:tcMar>
            <w:vAlign w:val="center"/>
          </w:tcPr>
          <w:p>
            <w:r>
              <w:rPr>
                <w:rFonts w:ascii="Liberation Sans" w:hAnsi="Liberation Sans"/>
                <w:color w:val="1C2430"/>
                <w:sz w:val="16"/>
              </w:rPr>
              <w:t>log(peak dose) singur</w:t>
            </w:r>
          </w:p>
        </w:tc>
        <w:tc>
          <w:tcPr>
            <w:tcW w:type="dxa" w:w="3312"/>
            <w:tcMar>
              <w:top w:w="80" w:type="dxa"/>
              <w:start w:w="90" w:type="dxa"/>
              <w:bottom w:w="80" w:type="dxa"/>
              <w:end w:w="90" w:type="dxa"/>
            </w:tcMar>
            <w:vAlign w:val="center"/>
          </w:tcPr>
          <w:p>
            <w:r>
              <w:rPr>
                <w:rFonts w:ascii="Liberation Sans" w:hAnsi="Liberation Sans"/>
                <w:color w:val="1C2430"/>
                <w:sz w:val="16"/>
              </w:rPr>
              <w:t>≈0.58</w:t>
            </w:r>
          </w:p>
        </w:tc>
      </w:tr>
      <w:tr>
        <w:trPr>
          <w:cantSplit w:val="true"/>
        </w:trPr>
        <w:tc>
          <w:tcPr>
            <w:tcW w:type="dxa" w:w="6048"/>
            <w:tcMar>
              <w:top w:w="80" w:type="dxa"/>
              <w:start w:w="90" w:type="dxa"/>
              <w:bottom w:w="80" w:type="dxa"/>
              <w:end w:w="90" w:type="dxa"/>
            </w:tcMar>
            <w:vAlign w:val="center"/>
          </w:tcPr>
          <w:p>
            <w:r>
              <w:rPr>
                <w:rFonts w:ascii="Liberation Sans" w:hAnsi="Liberation Sans"/>
                <w:color w:val="1C2430"/>
                <w:sz w:val="16"/>
              </w:rPr>
              <w:t>log(valley dose) singur</w:t>
            </w:r>
          </w:p>
        </w:tc>
        <w:tc>
          <w:tcPr>
            <w:tcW w:type="dxa" w:w="3312"/>
            <w:tcMar>
              <w:top w:w="80" w:type="dxa"/>
              <w:start w:w="90" w:type="dxa"/>
              <w:bottom w:w="80" w:type="dxa"/>
              <w:end w:w="90" w:type="dxa"/>
            </w:tcMar>
            <w:vAlign w:val="center"/>
          </w:tcPr>
          <w:p>
            <w:r>
              <w:rPr>
                <w:rFonts w:ascii="Liberation Sans" w:hAnsi="Liberation Sans"/>
                <w:color w:val="1C2430"/>
                <w:sz w:val="16"/>
              </w:rPr>
              <w:t>≈0.35</w:t>
            </w:r>
          </w:p>
        </w:tc>
      </w:tr>
      <w:tr>
        <w:trPr>
          <w:cantSplit w:val="true"/>
        </w:trPr>
        <w:tc>
          <w:tcPr>
            <w:tcW w:type="dxa" w:w="6048"/>
            <w:tcMar>
              <w:top w:w="80" w:type="dxa"/>
              <w:start w:w="90" w:type="dxa"/>
              <w:bottom w:w="80" w:type="dxa"/>
              <w:end w:w="90" w:type="dxa"/>
            </w:tcMar>
            <w:vAlign w:val="center"/>
          </w:tcPr>
          <w:p>
            <w:r>
              <w:rPr>
                <w:rFonts w:ascii="Liberation Sans" w:hAnsi="Liberation Sans"/>
                <w:color w:val="1C2430"/>
                <w:sz w:val="16"/>
              </w:rPr>
              <w:t>log(peak)+log(width)</w:t>
            </w:r>
          </w:p>
        </w:tc>
        <w:tc>
          <w:tcPr>
            <w:tcW w:type="dxa" w:w="3312"/>
            <w:tcMar>
              <w:top w:w="80" w:type="dxa"/>
              <w:start w:w="90" w:type="dxa"/>
              <w:bottom w:w="80" w:type="dxa"/>
              <w:end w:w="90" w:type="dxa"/>
            </w:tcMar>
            <w:vAlign w:val="center"/>
          </w:tcPr>
          <w:p>
            <w:r>
              <w:rPr>
                <w:rFonts w:ascii="Liberation Sans" w:hAnsi="Liberation Sans"/>
                <w:color w:val="1C2430"/>
                <w:sz w:val="16"/>
              </w:rPr>
              <w:t>≈0.79</w:t>
            </w:r>
          </w:p>
        </w:tc>
      </w:tr>
      <w:tr>
        <w:trPr>
          <w:cantSplit w:val="true"/>
        </w:trPr>
        <w:tc>
          <w:tcPr>
            <w:tcW w:type="dxa" w:w="6048"/>
            <w:tcMar>
              <w:top w:w="80" w:type="dxa"/>
              <w:start w:w="90" w:type="dxa"/>
              <w:bottom w:w="80" w:type="dxa"/>
              <w:end w:w="90" w:type="dxa"/>
            </w:tcMar>
            <w:vAlign w:val="center"/>
          </w:tcPr>
          <w:p>
            <w:r>
              <w:rPr>
                <w:rFonts w:ascii="Liberation Sans" w:hAnsi="Liberation Sans"/>
                <w:color w:val="1C2430"/>
                <w:sz w:val="16"/>
              </w:rPr>
              <w:t>log(valley)+log(width)</w:t>
            </w:r>
          </w:p>
        </w:tc>
        <w:tc>
          <w:tcPr>
            <w:tcW w:type="dxa" w:w="3312"/>
            <w:tcMar>
              <w:top w:w="80" w:type="dxa"/>
              <w:start w:w="90" w:type="dxa"/>
              <w:bottom w:w="80" w:type="dxa"/>
              <w:end w:w="90" w:type="dxa"/>
            </w:tcMar>
            <w:vAlign w:val="center"/>
          </w:tcPr>
          <w:p>
            <w:r>
              <w:rPr>
                <w:rFonts w:ascii="Liberation Sans" w:hAnsi="Liberation Sans"/>
                <w:color w:val="1C2430"/>
                <w:sz w:val="16"/>
              </w:rPr>
              <w:t>≈0.79</w:t>
            </w:r>
          </w:p>
        </w:tc>
      </w:tr>
    </w:tbl>
    <w:p>
      <w:pPr>
        <w:spacing w:after="20"/>
      </w:pPr>
    </w:p>
    <w:p>
      <w:r>
        <w:rPr>
          <w:rFonts w:ascii="Liberation Sans" w:hAnsi="Liberation Sans"/>
          <w:color w:val="1C2430"/>
          <w:sz w:val="19"/>
        </w:rPr>
        <w:t>n=8 este prea mic pentru validare clinică; valoarea este conceptuală: includerea lățimii absolute îmbunătățește substanțial explicația fibrozei.</w:t>
      </w:r>
    </w:p>
    <w:p>
      <w:pPr>
        <w:pStyle w:val="Heading1"/>
      </w:pPr>
      <w:r>
        <w:t>10. Low-dose adaptive response și bystander effects</w:t>
      </w:r>
    </w:p>
    <w:p>
      <w:r>
        <w:rPr>
          <w:rFonts w:ascii="Liberation Sans" w:hAnsi="Liberation Sans"/>
          <w:color w:val="1C2430"/>
          <w:sz w:val="19"/>
        </w:rPr>
        <w:t>Experimente cu protoni energetici de fluence/doză foarte mică arată că pot exista DNA-damage signals și bystander effects în celule neatinse direct. În unele fibroblaste umane, o pre-expunere mică poate induce un adaptive response care reduce damage-ul unei expuneri ulterioare. Acesta este un fenomen real de stress adaptation, dar nu este echivalent cu long-term preservation sau rejuvenation.</w:t>
      </w:r>
    </w:p>
    <w:p>
      <w:pPr>
        <w:pStyle w:val="Heading1"/>
      </w:pPr>
      <w:r>
        <w:t>11. FLASH ca modificator temporal</w:t>
      </w:r>
    </w:p>
    <w:p>
      <w:r>
        <w:rPr>
          <w:rFonts w:ascii="Liberation Sans" w:hAnsi="Liberation Sans"/>
          <w:color w:val="1C2430"/>
          <w:sz w:val="19"/>
        </w:rPr>
        <w:t>FLASH schimbă timpul în care energia este livrată. Modelele animale arată reducerea anumitor toxicități normale față de delivery convențional, inclusiv acute skin damage și fibrosis. FLASH nu elimină ionizarea și nu transformă celulele direct lovite în celule conservate permanent, dar arată că timpul este o variabilă independentă importantă alături de geometrie.</w:t>
      </w:r>
    </w:p>
    <w:p>
      <w:pPr>
        <w:pStyle w:val="Heading1"/>
      </w:pPr>
      <w:r>
        <w:t>12. Patente și convergență independentă</w:t>
      </w:r>
    </w:p>
    <w:tbl>
      <w:tblPr>
        <w:tblStyle w:val="TableGrid"/>
        <w:tblW w:type="auto" w:w="0"/>
        <w:jc w:val="center"/>
        <w:tblLayout w:type="fixed"/>
        <w:tblLook w:firstColumn="1" w:firstRow="1" w:lastColumn="0" w:lastRow="0" w:noHBand="0" w:noVBand="1" w:val="04A0"/>
      </w:tblPr>
      <w:tblGrid>
        <w:gridCol w:w="5040"/>
        <w:gridCol w:w="5040"/>
      </w:tblGrid>
      <w:tr>
        <w:trPr>
          <w:tblHeader w:val="true"/>
          <w:cantSplit w:val="true"/>
        </w:trPr>
        <w:tc>
          <w:tcPr>
            <w:tcW w:type="dxa" w:w="3312"/>
            <w:shd w:fill="17365D"/>
            <w:tcMar>
              <w:top w:w="80" w:type="dxa"/>
              <w:start w:w="90" w:type="dxa"/>
              <w:bottom w:w="80" w:type="dxa"/>
              <w:end w:w="90" w:type="dxa"/>
            </w:tcMar>
          </w:tcPr>
          <w:p>
            <w:pPr>
              <w:jc w:val="center"/>
            </w:pPr>
            <w:r>
              <w:rPr>
                <w:rFonts w:ascii="Liberation Sans" w:hAnsi="Liberation Sans"/>
                <w:b/>
                <w:color w:val="FFFFFF"/>
                <w:sz w:val="16"/>
              </w:rPr>
              <w:t>Familie / direcție</w:t>
            </w:r>
          </w:p>
        </w:tc>
        <w:tc>
          <w:tcPr>
            <w:tcW w:type="dxa" w:w="6048"/>
            <w:shd w:fill="17365D"/>
            <w:tcMar>
              <w:top w:w="80" w:type="dxa"/>
              <w:start w:w="90" w:type="dxa"/>
              <w:bottom w:w="80" w:type="dxa"/>
              <w:end w:w="90" w:type="dxa"/>
            </w:tcMar>
          </w:tcPr>
          <w:p>
            <w:pPr>
              <w:jc w:val="center"/>
            </w:pPr>
            <w:r>
              <w:rPr>
                <w:rFonts w:ascii="Liberation Sans" w:hAnsi="Liberation Sans"/>
                <w:b/>
                <w:color w:val="FFFFFF"/>
                <w:sz w:val="16"/>
              </w:rPr>
              <w:t>Ce converge</w:t>
            </w:r>
          </w:p>
        </w:tc>
      </w:tr>
      <w:tr>
        <w:trPr>
          <w:cantSplit w:val="true"/>
        </w:trPr>
        <w:tc>
          <w:tcPr>
            <w:tcW w:type="dxa" w:w="3312"/>
            <w:tcMar>
              <w:top w:w="80" w:type="dxa"/>
              <w:start w:w="90" w:type="dxa"/>
              <w:bottom w:w="80" w:type="dxa"/>
              <w:end w:w="90" w:type="dxa"/>
            </w:tcMar>
            <w:vAlign w:val="center"/>
          </w:tcPr>
          <w:p>
            <w:r>
              <w:rPr>
                <w:rFonts w:ascii="Liberation Sans" w:hAnsi="Liberation Sans"/>
                <w:color w:val="1C2430"/>
                <w:sz w:val="16"/>
              </w:rPr>
              <w:t>Microbeam / minibeam patents</w:t>
            </w:r>
          </w:p>
        </w:tc>
        <w:tc>
          <w:tcPr>
            <w:tcW w:type="dxa" w:w="6048"/>
            <w:tcMar>
              <w:top w:w="80" w:type="dxa"/>
              <w:start w:w="90" w:type="dxa"/>
              <w:bottom w:w="80" w:type="dxa"/>
              <w:end w:w="90" w:type="dxa"/>
            </w:tcMar>
            <w:vAlign w:val="center"/>
          </w:tcPr>
          <w:p>
            <w:r>
              <w:rPr>
                <w:rFonts w:ascii="Liberation Sans" w:hAnsi="Liberation Sans"/>
                <w:color w:val="1C2430"/>
                <w:sz w:val="16"/>
              </w:rPr>
              <w:t>Peak-uri înguste, valley-uri mici, menținerea țesutului normal între piste.</w:t>
            </w:r>
          </w:p>
        </w:tc>
      </w:tr>
      <w:tr>
        <w:trPr>
          <w:cantSplit w:val="true"/>
        </w:trPr>
        <w:tc>
          <w:tcPr>
            <w:tcW w:type="dxa" w:w="3312"/>
            <w:tcMar>
              <w:top w:w="80" w:type="dxa"/>
              <w:start w:w="90" w:type="dxa"/>
              <w:bottom w:w="80" w:type="dxa"/>
              <w:end w:w="90" w:type="dxa"/>
            </w:tcMar>
            <w:vAlign w:val="center"/>
          </w:tcPr>
          <w:p>
            <w:r>
              <w:rPr>
                <w:rFonts w:ascii="Liberation Sans" w:hAnsi="Liberation Sans"/>
                <w:color w:val="1C2430"/>
                <w:sz w:val="16"/>
              </w:rPr>
              <w:t>pMBRT</w:t>
            </w:r>
          </w:p>
        </w:tc>
        <w:tc>
          <w:tcPr>
            <w:tcW w:type="dxa" w:w="6048"/>
            <w:tcMar>
              <w:top w:w="80" w:type="dxa"/>
              <w:start w:w="90" w:type="dxa"/>
              <w:bottom w:w="80" w:type="dxa"/>
              <w:end w:w="90" w:type="dxa"/>
            </w:tcMar>
            <w:vAlign w:val="center"/>
          </w:tcPr>
          <w:p>
            <w:r>
              <w:rPr>
                <w:rFonts w:ascii="Liberation Sans" w:hAnsi="Liberation Sans"/>
                <w:color w:val="1C2430"/>
                <w:sz w:val="16"/>
              </w:rPr>
              <w:t>Distribuție spațială eterogenă pentru tissue sparing.</w:t>
            </w:r>
          </w:p>
        </w:tc>
      </w:tr>
      <w:tr>
        <w:trPr>
          <w:cantSplit w:val="true"/>
        </w:trPr>
        <w:tc>
          <w:tcPr>
            <w:tcW w:type="dxa" w:w="3312"/>
            <w:tcMar>
              <w:top w:w="80" w:type="dxa"/>
              <w:start w:w="90" w:type="dxa"/>
              <w:bottom w:w="80" w:type="dxa"/>
              <w:end w:w="90" w:type="dxa"/>
            </w:tcMar>
            <w:vAlign w:val="center"/>
          </w:tcPr>
          <w:p>
            <w:r>
              <w:rPr>
                <w:rFonts w:ascii="Liberation Sans" w:hAnsi="Liberation Sans"/>
                <w:color w:val="1C2430"/>
                <w:sz w:val="16"/>
              </w:rPr>
              <w:t>FLASH patents</w:t>
            </w:r>
          </w:p>
        </w:tc>
        <w:tc>
          <w:tcPr>
            <w:tcW w:type="dxa" w:w="6048"/>
            <w:tcMar>
              <w:top w:w="80" w:type="dxa"/>
              <w:start w:w="90" w:type="dxa"/>
              <w:bottom w:w="80" w:type="dxa"/>
              <w:end w:w="90" w:type="dxa"/>
            </w:tcMar>
            <w:vAlign w:val="center"/>
          </w:tcPr>
          <w:p>
            <w:r>
              <w:rPr>
                <w:rFonts w:ascii="Liberation Sans" w:hAnsi="Liberation Sans"/>
                <w:color w:val="1C2430"/>
                <w:sz w:val="16"/>
              </w:rPr>
              <w:t>Control temporal / ultra-high dose-rate pentru reducerea toxicității normale.</w:t>
            </w:r>
          </w:p>
        </w:tc>
      </w:tr>
      <w:tr>
        <w:trPr>
          <w:cantSplit w:val="true"/>
        </w:trPr>
        <w:tc>
          <w:tcPr>
            <w:tcW w:type="dxa" w:w="3312"/>
            <w:tcMar>
              <w:top w:w="80" w:type="dxa"/>
              <w:start w:w="90" w:type="dxa"/>
              <w:bottom w:w="80" w:type="dxa"/>
              <w:end w:w="90" w:type="dxa"/>
            </w:tcMar>
            <w:vAlign w:val="center"/>
          </w:tcPr>
          <w:p>
            <w:r>
              <w:rPr>
                <w:rFonts w:ascii="Liberation Sans" w:hAnsi="Liberation Sans"/>
                <w:color w:val="1C2430"/>
                <w:sz w:val="16"/>
              </w:rPr>
              <w:t>Tissue banking / irradiation</w:t>
            </w:r>
          </w:p>
        </w:tc>
        <w:tc>
          <w:tcPr>
            <w:tcW w:type="dxa" w:w="6048"/>
            <w:tcMar>
              <w:top w:w="80" w:type="dxa"/>
              <w:start w:w="90" w:type="dxa"/>
              <w:bottom w:w="80" w:type="dxa"/>
              <w:end w:w="90" w:type="dxa"/>
            </w:tcMar>
            <w:vAlign w:val="center"/>
          </w:tcPr>
          <w:p>
            <w:r>
              <w:rPr>
                <w:rFonts w:ascii="Liberation Sans" w:hAnsi="Liberation Sans"/>
                <w:color w:val="1C2430"/>
                <w:sz w:val="16"/>
              </w:rPr>
              <w:t>Sterilizare și structură; nu preservation al țesutului viu direct iradiat.</w:t>
            </w:r>
          </w:p>
        </w:tc>
      </w:tr>
    </w:tbl>
    <w:p>
      <w:pPr>
        <w:spacing w:after="20"/>
      </w:pPr>
    </w:p>
    <w:p>
      <w:r>
        <w:rPr>
          <w:rFonts w:ascii="Liberation Sans" w:hAnsi="Liberation Sans"/>
          <w:color w:val="1C2430"/>
          <w:sz w:val="19"/>
        </w:rPr>
        <w:t>Nu a fost identificat niciun patent public sau paper peer-reviewed care să stabilească un set de energie/intensitate/doză ce menține permanent viu și „preserved” țesutul direct iradiat. Convergența reală este pe spatial sparing și repair din țesutul neafectat.</w:t>
      </w:r>
    </w:p>
    <w:p>
      <w:pPr>
        <w:pStyle w:val="Heading1"/>
      </w:pPr>
      <w:r>
        <w:t>13. Benchmark 0–5 stele</w:t>
      </w:r>
    </w:p>
    <w:tbl>
      <w:tblPr>
        <w:tblStyle w:val="TableGrid"/>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val="true"/>
          <w:cantSplit w:val="true"/>
        </w:trPr>
        <w:tc>
          <w:tcPr>
            <w:tcW w:type="dxa" w:w="2880"/>
            <w:shd w:fill="17365D"/>
            <w:tcMar>
              <w:top w:w="80" w:type="dxa"/>
              <w:start w:w="90" w:type="dxa"/>
              <w:bottom w:w="80" w:type="dxa"/>
              <w:end w:w="90" w:type="dxa"/>
            </w:tcMar>
          </w:tcPr>
          <w:p>
            <w:pPr>
              <w:jc w:val="center"/>
            </w:pPr>
            <w:r>
              <w:rPr>
                <w:rFonts w:ascii="Liberation Sans" w:hAnsi="Liberation Sans"/>
                <w:b/>
                <w:color w:val="FFFFFF"/>
                <w:sz w:val="14"/>
              </w:rPr>
              <w:t>Regim / mecanism</w:t>
            </w:r>
          </w:p>
        </w:tc>
        <w:tc>
          <w:tcPr>
            <w:tcW w:type="dxa" w:w="1152"/>
            <w:shd w:fill="17365D"/>
            <w:tcMar>
              <w:top w:w="80" w:type="dxa"/>
              <w:start w:w="90" w:type="dxa"/>
              <w:bottom w:w="80" w:type="dxa"/>
              <w:end w:w="90" w:type="dxa"/>
            </w:tcMar>
          </w:tcPr>
          <w:p>
            <w:pPr>
              <w:jc w:val="center"/>
            </w:pPr>
            <w:r>
              <w:rPr>
                <w:rFonts w:ascii="Liberation Sans" w:hAnsi="Liberation Sans"/>
                <w:b/>
                <w:color w:val="FFFFFF"/>
                <w:sz w:val="14"/>
              </w:rPr>
              <w:t>Preservation</w:t>
            </w:r>
          </w:p>
        </w:tc>
        <w:tc>
          <w:tcPr>
            <w:tcW w:type="dxa" w:w="1152"/>
            <w:shd w:fill="17365D"/>
            <w:tcMar>
              <w:top w:w="80" w:type="dxa"/>
              <w:start w:w="90" w:type="dxa"/>
              <w:bottom w:w="80" w:type="dxa"/>
              <w:end w:w="90" w:type="dxa"/>
            </w:tcMar>
          </w:tcPr>
          <w:p>
            <w:pPr>
              <w:jc w:val="center"/>
            </w:pPr>
            <w:r>
              <w:rPr>
                <w:rFonts w:ascii="Liberation Sans" w:hAnsi="Liberation Sans"/>
                <w:b/>
                <w:color w:val="FFFFFF"/>
                <w:sz w:val="14"/>
              </w:rPr>
              <w:t>Celule vii</w:t>
            </w:r>
          </w:p>
        </w:tc>
        <w:tc>
          <w:tcPr>
            <w:tcW w:type="dxa" w:w="1008"/>
            <w:shd w:fill="17365D"/>
            <w:tcMar>
              <w:top w:w="80" w:type="dxa"/>
              <w:start w:w="90" w:type="dxa"/>
              <w:bottom w:w="80" w:type="dxa"/>
              <w:end w:w="90" w:type="dxa"/>
            </w:tcMar>
          </w:tcPr>
          <w:p>
            <w:pPr>
              <w:jc w:val="center"/>
            </w:pPr>
            <w:r>
              <w:rPr>
                <w:rFonts w:ascii="Liberation Sans" w:hAnsi="Liberation Sans"/>
                <w:b/>
                <w:color w:val="FFFFFF"/>
                <w:sz w:val="14"/>
              </w:rPr>
              <w:t>Funcție</w:t>
            </w:r>
          </w:p>
        </w:tc>
        <w:tc>
          <w:tcPr>
            <w:tcW w:type="dxa" w:w="1584"/>
            <w:shd w:fill="17365D"/>
            <w:tcMar>
              <w:top w:w="80" w:type="dxa"/>
              <w:start w:w="90" w:type="dxa"/>
              <w:bottom w:w="80" w:type="dxa"/>
              <w:end w:w="90" w:type="dxa"/>
            </w:tcMar>
          </w:tcPr>
          <w:p>
            <w:pPr>
              <w:jc w:val="center"/>
            </w:pPr>
            <w:r>
              <w:rPr>
                <w:rFonts w:ascii="Liberation Sans" w:hAnsi="Liberation Sans"/>
                <w:b/>
                <w:color w:val="FFFFFF"/>
                <w:sz w:val="14"/>
              </w:rPr>
              <w:t>Suport experimental</w:t>
            </w:r>
          </w:p>
        </w:tc>
        <w:tc>
          <w:tcPr>
            <w:tcW w:type="dxa" w:w="1584"/>
            <w:shd w:fill="17365D"/>
            <w:tcMar>
              <w:top w:w="80" w:type="dxa"/>
              <w:start w:w="90" w:type="dxa"/>
              <w:bottom w:w="80" w:type="dxa"/>
              <w:end w:w="90" w:type="dxa"/>
            </w:tcMar>
          </w:tcPr>
          <w:p>
            <w:pPr>
              <w:jc w:val="center"/>
            </w:pPr>
            <w:r>
              <w:rPr>
                <w:rFonts w:ascii="Liberation Sans" w:hAnsi="Liberation Sans"/>
                <w:b/>
                <w:color w:val="FFFFFF"/>
                <w:sz w:val="14"/>
              </w:rPr>
              <w:t>Scor general</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Energie mare singură</w:t>
            </w:r>
          </w:p>
        </w:tc>
        <w:tc>
          <w:tcPr>
            <w:tcW w:type="dxa" w:w="1152"/>
            <w:tcMar>
              <w:top w:w="80" w:type="dxa"/>
              <w:start w:w="90" w:type="dxa"/>
              <w:bottom w:w="80" w:type="dxa"/>
              <w:end w:w="90" w:type="dxa"/>
            </w:tcMar>
            <w:vAlign w:val="center"/>
          </w:tcPr>
          <w:p>
            <w:r>
              <w:rPr>
                <w:rFonts w:ascii="Liberation Sans" w:hAnsi="Liberation Sans"/>
                <w:color w:val="1C2430"/>
                <w:sz w:val="14"/>
              </w:rPr>
              <w:t>0.5</w:t>
            </w:r>
          </w:p>
        </w:tc>
        <w:tc>
          <w:tcPr>
            <w:tcW w:type="dxa" w:w="1152"/>
            <w:tcMar>
              <w:top w:w="80" w:type="dxa"/>
              <w:start w:w="90" w:type="dxa"/>
              <w:bottom w:w="80" w:type="dxa"/>
              <w:end w:w="90" w:type="dxa"/>
            </w:tcMar>
            <w:vAlign w:val="center"/>
          </w:tcPr>
          <w:p>
            <w:r>
              <w:rPr>
                <w:rFonts w:ascii="Liberation Sans" w:hAnsi="Liberation Sans"/>
                <w:color w:val="1C2430"/>
                <w:sz w:val="14"/>
              </w:rPr>
              <w:t>1.0</w:t>
            </w:r>
          </w:p>
        </w:tc>
        <w:tc>
          <w:tcPr>
            <w:tcW w:type="dxa" w:w="1008"/>
            <w:tcMar>
              <w:top w:w="80" w:type="dxa"/>
              <w:start w:w="90" w:type="dxa"/>
              <w:bottom w:w="80" w:type="dxa"/>
              <w:end w:w="90" w:type="dxa"/>
            </w:tcMar>
            <w:vAlign w:val="center"/>
          </w:tcPr>
          <w:p>
            <w:r>
              <w:rPr>
                <w:rFonts w:ascii="Liberation Sans" w:hAnsi="Liberation Sans"/>
                <w:color w:val="1C2430"/>
                <w:sz w:val="14"/>
              </w:rPr>
              <w:t>1.0</w:t>
            </w:r>
          </w:p>
        </w:tc>
        <w:tc>
          <w:tcPr>
            <w:tcW w:type="dxa" w:w="1584"/>
            <w:tcMar>
              <w:top w:w="80" w:type="dxa"/>
              <w:start w:w="90" w:type="dxa"/>
              <w:bottom w:w="80" w:type="dxa"/>
              <w:end w:w="90" w:type="dxa"/>
            </w:tcMar>
            <w:vAlign w:val="center"/>
          </w:tcPr>
          <w:p>
            <w:r>
              <w:rPr>
                <w:rFonts w:ascii="Liberation Sans" w:hAnsi="Liberation Sans"/>
                <w:color w:val="1C2430"/>
                <w:sz w:val="14"/>
              </w:rPr>
              <w:t>2.0</w:t>
            </w:r>
          </w:p>
        </w:tc>
        <w:tc>
          <w:tcPr>
            <w:tcW w:type="dxa" w:w="1584"/>
            <w:tcMar>
              <w:top w:w="80" w:type="dxa"/>
              <w:start w:w="90" w:type="dxa"/>
              <w:bottom w:w="80" w:type="dxa"/>
              <w:end w:w="90" w:type="dxa"/>
            </w:tcMar>
            <w:vAlign w:val="center"/>
          </w:tcPr>
          <w:p>
            <w:r>
              <w:rPr>
                <w:rFonts w:ascii="Liberation Sans" w:hAnsi="Liberation Sans"/>
                <w:color w:val="1C2430"/>
                <w:sz w:val="14"/>
              </w:rPr>
              <w:t>1.0/5</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Energie mare + doză foarte mică</w:t>
            </w:r>
          </w:p>
        </w:tc>
        <w:tc>
          <w:tcPr>
            <w:tcW w:type="dxa" w:w="1152"/>
            <w:tcMar>
              <w:top w:w="80" w:type="dxa"/>
              <w:start w:w="90" w:type="dxa"/>
              <w:bottom w:w="80" w:type="dxa"/>
              <w:end w:w="90" w:type="dxa"/>
            </w:tcMar>
            <w:vAlign w:val="center"/>
          </w:tcPr>
          <w:p>
            <w:r>
              <w:rPr>
                <w:rFonts w:ascii="Liberation Sans" w:hAnsi="Liberation Sans"/>
                <w:color w:val="1C2430"/>
                <w:sz w:val="14"/>
              </w:rPr>
              <w:t>1.0</w:t>
            </w:r>
          </w:p>
        </w:tc>
        <w:tc>
          <w:tcPr>
            <w:tcW w:type="dxa" w:w="1152"/>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584"/>
            <w:tcMar>
              <w:top w:w="80" w:type="dxa"/>
              <w:start w:w="90" w:type="dxa"/>
              <w:bottom w:w="80" w:type="dxa"/>
              <w:end w:w="90" w:type="dxa"/>
            </w:tcMar>
            <w:vAlign w:val="center"/>
          </w:tcPr>
          <w:p>
            <w:r>
              <w:rPr>
                <w:rFonts w:ascii="Liberation Sans" w:hAnsi="Liberation Sans"/>
                <w:color w:val="1C2430"/>
                <w:sz w:val="14"/>
              </w:rPr>
              <w:t>3.0</w:t>
            </w:r>
          </w:p>
        </w:tc>
        <w:tc>
          <w:tcPr>
            <w:tcW w:type="dxa" w:w="1584"/>
            <w:tcMar>
              <w:top w:w="80" w:type="dxa"/>
              <w:start w:w="90" w:type="dxa"/>
              <w:bottom w:w="80" w:type="dxa"/>
              <w:end w:w="90" w:type="dxa"/>
            </w:tcMar>
            <w:vAlign w:val="center"/>
          </w:tcPr>
          <w:p>
            <w:r>
              <w:rPr>
                <w:rFonts w:ascii="Liberation Sans" w:hAnsi="Liberation Sans"/>
                <w:color w:val="1C2430"/>
                <w:sz w:val="14"/>
              </w:rPr>
              <w:t>3.0/5</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Low-dose adaptive response</w:t>
            </w:r>
          </w:p>
        </w:tc>
        <w:tc>
          <w:tcPr>
            <w:tcW w:type="dxa" w:w="1152"/>
            <w:tcMar>
              <w:top w:w="80" w:type="dxa"/>
              <w:start w:w="90" w:type="dxa"/>
              <w:bottom w:w="80" w:type="dxa"/>
              <w:end w:w="90" w:type="dxa"/>
            </w:tcMar>
            <w:vAlign w:val="center"/>
          </w:tcPr>
          <w:p>
            <w:r>
              <w:rPr>
                <w:rFonts w:ascii="Liberation Sans" w:hAnsi="Liberation Sans"/>
                <w:color w:val="1C2430"/>
                <w:sz w:val="14"/>
              </w:rPr>
              <w:t>2.0</w:t>
            </w:r>
          </w:p>
        </w:tc>
        <w:tc>
          <w:tcPr>
            <w:tcW w:type="dxa" w:w="1152"/>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3.5</w:t>
            </w:r>
          </w:p>
        </w:tc>
        <w:tc>
          <w:tcPr>
            <w:tcW w:type="dxa" w:w="1584"/>
            <w:tcMar>
              <w:top w:w="80" w:type="dxa"/>
              <w:start w:w="90" w:type="dxa"/>
              <w:bottom w:w="80" w:type="dxa"/>
              <w:end w:w="90" w:type="dxa"/>
            </w:tcMar>
            <w:vAlign w:val="center"/>
          </w:tcPr>
          <w:p>
            <w:r>
              <w:rPr>
                <w:rFonts w:ascii="Liberation Sans" w:hAnsi="Liberation Sans"/>
                <w:color w:val="1C2430"/>
                <w:sz w:val="14"/>
              </w:rPr>
              <w:t>4.0</w:t>
            </w:r>
          </w:p>
        </w:tc>
        <w:tc>
          <w:tcPr>
            <w:tcW w:type="dxa" w:w="1584"/>
            <w:tcMar>
              <w:top w:w="80" w:type="dxa"/>
              <w:start w:w="90" w:type="dxa"/>
              <w:bottom w:w="80" w:type="dxa"/>
              <w:end w:w="90" w:type="dxa"/>
            </w:tcMar>
            <w:vAlign w:val="center"/>
          </w:tcPr>
          <w:p>
            <w:r>
              <w:rPr>
                <w:rFonts w:ascii="Liberation Sans" w:hAnsi="Liberation Sans"/>
                <w:color w:val="1C2430"/>
                <w:sz w:val="14"/>
              </w:rPr>
              <w:t>3.4/5</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Proton FLASH</w:t>
            </w:r>
          </w:p>
        </w:tc>
        <w:tc>
          <w:tcPr>
            <w:tcW w:type="dxa" w:w="1152"/>
            <w:tcMar>
              <w:top w:w="80" w:type="dxa"/>
              <w:start w:w="90" w:type="dxa"/>
              <w:bottom w:w="80" w:type="dxa"/>
              <w:end w:w="90" w:type="dxa"/>
            </w:tcMar>
            <w:vAlign w:val="center"/>
          </w:tcPr>
          <w:p>
            <w:r>
              <w:rPr>
                <w:rFonts w:ascii="Liberation Sans" w:hAnsi="Liberation Sans"/>
                <w:color w:val="1C2430"/>
                <w:sz w:val="14"/>
              </w:rPr>
              <w:t>3.5</w:t>
            </w:r>
          </w:p>
        </w:tc>
        <w:tc>
          <w:tcPr>
            <w:tcW w:type="dxa" w:w="1152"/>
            <w:tcMar>
              <w:top w:w="80" w:type="dxa"/>
              <w:start w:w="90" w:type="dxa"/>
              <w:bottom w:w="80" w:type="dxa"/>
              <w:end w:w="90" w:type="dxa"/>
            </w:tcMar>
            <w:vAlign w:val="center"/>
          </w:tcPr>
          <w:p>
            <w:r>
              <w:rPr>
                <w:rFonts w:ascii="Liberation Sans" w:hAnsi="Liberation Sans"/>
                <w:color w:val="1C2430"/>
                <w:sz w:val="14"/>
              </w:rPr>
              <w:t>3.5</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584"/>
            <w:tcMar>
              <w:top w:w="80" w:type="dxa"/>
              <w:start w:w="90" w:type="dxa"/>
              <w:bottom w:w="80" w:type="dxa"/>
              <w:end w:w="90" w:type="dxa"/>
            </w:tcMar>
            <w:vAlign w:val="center"/>
          </w:tcPr>
          <w:p>
            <w:r>
              <w:rPr>
                <w:rFonts w:ascii="Liberation Sans" w:hAnsi="Liberation Sans"/>
                <w:color w:val="1C2430"/>
                <w:sz w:val="14"/>
              </w:rPr>
              <w:t>4.0</w:t>
            </w:r>
          </w:p>
        </w:tc>
        <w:tc>
          <w:tcPr>
            <w:tcW w:type="dxa" w:w="1584"/>
            <w:tcMar>
              <w:top w:w="80" w:type="dxa"/>
              <w:start w:w="90" w:type="dxa"/>
              <w:bottom w:w="80" w:type="dxa"/>
              <w:end w:w="90" w:type="dxa"/>
            </w:tcMar>
            <w:vAlign w:val="center"/>
          </w:tcPr>
          <w:p>
            <w:r>
              <w:rPr>
                <w:rFonts w:ascii="Liberation Sans" w:hAnsi="Liberation Sans"/>
                <w:color w:val="1C2430"/>
                <w:sz w:val="14"/>
              </w:rPr>
              <w:t>3.6/5</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Proton minibeam</w:t>
            </w:r>
          </w:p>
        </w:tc>
        <w:tc>
          <w:tcPr>
            <w:tcW w:type="dxa" w:w="1152"/>
            <w:tcMar>
              <w:top w:w="80" w:type="dxa"/>
              <w:start w:w="90" w:type="dxa"/>
              <w:bottom w:w="80" w:type="dxa"/>
              <w:end w:w="90" w:type="dxa"/>
            </w:tcMar>
            <w:vAlign w:val="center"/>
          </w:tcPr>
          <w:p>
            <w:r>
              <w:rPr>
                <w:rFonts w:ascii="Liberation Sans" w:hAnsi="Liberation Sans"/>
                <w:color w:val="1C2430"/>
                <w:sz w:val="14"/>
              </w:rPr>
              <w:t>4.0</w:t>
            </w:r>
          </w:p>
        </w:tc>
        <w:tc>
          <w:tcPr>
            <w:tcW w:type="dxa" w:w="1152"/>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584"/>
            <w:tcMar>
              <w:top w:w="80" w:type="dxa"/>
              <w:start w:w="90" w:type="dxa"/>
              <w:bottom w:w="80" w:type="dxa"/>
              <w:end w:w="90" w:type="dxa"/>
            </w:tcMar>
            <w:vAlign w:val="center"/>
          </w:tcPr>
          <w:p>
            <w:r>
              <w:rPr>
                <w:rFonts w:ascii="Liberation Sans" w:hAnsi="Liberation Sans"/>
                <w:color w:val="1C2430"/>
                <w:sz w:val="14"/>
              </w:rPr>
              <w:t>4.5</w:t>
            </w:r>
          </w:p>
        </w:tc>
        <w:tc>
          <w:tcPr>
            <w:tcW w:type="dxa" w:w="1584"/>
            <w:tcMar>
              <w:top w:w="80" w:type="dxa"/>
              <w:start w:w="90" w:type="dxa"/>
              <w:bottom w:w="80" w:type="dxa"/>
              <w:end w:w="90" w:type="dxa"/>
            </w:tcMar>
            <w:vAlign w:val="center"/>
          </w:tcPr>
          <w:p>
            <w:r>
              <w:rPr>
                <w:rFonts w:ascii="Liberation Sans" w:hAnsi="Liberation Sans"/>
                <w:color w:val="1C2430"/>
                <w:sz w:val="14"/>
              </w:rPr>
              <w:t>4.0/5</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Microbeam spatial fractionation</w:t>
            </w:r>
          </w:p>
        </w:tc>
        <w:tc>
          <w:tcPr>
            <w:tcW w:type="dxa" w:w="1152"/>
            <w:tcMar>
              <w:top w:w="80" w:type="dxa"/>
              <w:start w:w="90" w:type="dxa"/>
              <w:bottom w:w="80" w:type="dxa"/>
              <w:end w:w="90" w:type="dxa"/>
            </w:tcMar>
            <w:vAlign w:val="center"/>
          </w:tcPr>
          <w:p>
            <w:r>
              <w:rPr>
                <w:rFonts w:ascii="Liberation Sans" w:hAnsi="Liberation Sans"/>
                <w:color w:val="1C2430"/>
                <w:sz w:val="14"/>
              </w:rPr>
              <w:t>4.5</w:t>
            </w:r>
          </w:p>
        </w:tc>
        <w:tc>
          <w:tcPr>
            <w:tcW w:type="dxa" w:w="1152"/>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4.5</w:t>
            </w:r>
          </w:p>
        </w:tc>
        <w:tc>
          <w:tcPr>
            <w:tcW w:type="dxa" w:w="1584"/>
            <w:tcMar>
              <w:top w:w="80" w:type="dxa"/>
              <w:start w:w="90" w:type="dxa"/>
              <w:bottom w:w="80" w:type="dxa"/>
              <w:end w:w="90" w:type="dxa"/>
            </w:tcMar>
            <w:vAlign w:val="center"/>
          </w:tcPr>
          <w:p>
            <w:r>
              <w:rPr>
                <w:rFonts w:ascii="Liberation Sans" w:hAnsi="Liberation Sans"/>
                <w:color w:val="1C2430"/>
                <w:sz w:val="14"/>
              </w:rPr>
              <w:t>4.5</w:t>
            </w:r>
          </w:p>
        </w:tc>
        <w:tc>
          <w:tcPr>
            <w:tcW w:type="dxa" w:w="1584"/>
            <w:tcMar>
              <w:top w:w="80" w:type="dxa"/>
              <w:start w:w="90" w:type="dxa"/>
              <w:bottom w:w="80" w:type="dxa"/>
              <w:end w:w="90" w:type="dxa"/>
            </w:tcMar>
            <w:vAlign w:val="center"/>
          </w:tcPr>
          <w:p>
            <w:r>
              <w:rPr>
                <w:rFonts w:ascii="Liberation Sans" w:hAnsi="Liberation Sans"/>
                <w:color w:val="1C2430"/>
                <w:sz w:val="14"/>
              </w:rPr>
              <w:t>4.1/5</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Healthy-neighbor / vascular rescue</w:t>
            </w:r>
          </w:p>
        </w:tc>
        <w:tc>
          <w:tcPr>
            <w:tcW w:type="dxa" w:w="1152"/>
            <w:tcMar>
              <w:top w:w="80" w:type="dxa"/>
              <w:start w:w="90" w:type="dxa"/>
              <w:bottom w:w="80" w:type="dxa"/>
              <w:end w:w="90" w:type="dxa"/>
            </w:tcMar>
            <w:vAlign w:val="center"/>
          </w:tcPr>
          <w:p>
            <w:r>
              <w:rPr>
                <w:rFonts w:ascii="Liberation Sans" w:hAnsi="Liberation Sans"/>
                <w:color w:val="1C2430"/>
                <w:sz w:val="14"/>
              </w:rPr>
              <w:t>4.5</w:t>
            </w:r>
          </w:p>
        </w:tc>
        <w:tc>
          <w:tcPr>
            <w:tcW w:type="dxa" w:w="1152"/>
            <w:tcMar>
              <w:top w:w="80" w:type="dxa"/>
              <w:start w:w="90" w:type="dxa"/>
              <w:bottom w:w="80" w:type="dxa"/>
              <w:end w:w="90" w:type="dxa"/>
            </w:tcMar>
            <w:vAlign w:val="center"/>
          </w:tcPr>
          <w:p>
            <w:r>
              <w:rPr>
                <w:rFonts w:ascii="Liberation Sans" w:hAnsi="Liberation Sans"/>
                <w:color w:val="1C2430"/>
                <w:sz w:val="14"/>
              </w:rPr>
              <w:t>4.5*</w:t>
            </w:r>
          </w:p>
        </w:tc>
        <w:tc>
          <w:tcPr>
            <w:tcW w:type="dxa" w:w="1008"/>
            <w:tcMar>
              <w:top w:w="80" w:type="dxa"/>
              <w:start w:w="90" w:type="dxa"/>
              <w:bottom w:w="80" w:type="dxa"/>
              <w:end w:w="90" w:type="dxa"/>
            </w:tcMar>
            <w:vAlign w:val="center"/>
          </w:tcPr>
          <w:p>
            <w:r>
              <w:rPr>
                <w:rFonts w:ascii="Liberation Sans" w:hAnsi="Liberation Sans"/>
                <w:color w:val="1C2430"/>
                <w:sz w:val="14"/>
              </w:rPr>
              <w:t>4.5</w:t>
            </w:r>
          </w:p>
        </w:tc>
        <w:tc>
          <w:tcPr>
            <w:tcW w:type="dxa" w:w="1584"/>
            <w:tcMar>
              <w:top w:w="80" w:type="dxa"/>
              <w:start w:w="90" w:type="dxa"/>
              <w:bottom w:w="80" w:type="dxa"/>
              <w:end w:w="90" w:type="dxa"/>
            </w:tcMar>
            <w:vAlign w:val="center"/>
          </w:tcPr>
          <w:p>
            <w:r>
              <w:rPr>
                <w:rFonts w:ascii="Liberation Sans" w:hAnsi="Liberation Sans"/>
                <w:color w:val="1C2430"/>
                <w:sz w:val="14"/>
              </w:rPr>
              <w:t>4.0</w:t>
            </w:r>
          </w:p>
        </w:tc>
        <w:tc>
          <w:tcPr>
            <w:tcW w:type="dxa" w:w="1584"/>
            <w:tcMar>
              <w:top w:w="80" w:type="dxa"/>
              <w:start w:w="90" w:type="dxa"/>
              <w:bottom w:w="80" w:type="dxa"/>
              <w:end w:w="90" w:type="dxa"/>
            </w:tcMar>
            <w:vAlign w:val="center"/>
          </w:tcPr>
          <w:p>
            <w:r>
              <w:rPr>
                <w:rFonts w:ascii="Liberation Sans" w:hAnsi="Liberation Sans"/>
                <w:color w:val="1C2430"/>
                <w:sz w:val="14"/>
              </w:rPr>
              <w:t>4.2/5</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Direct-hit cell preservation</w:t>
            </w:r>
          </w:p>
        </w:tc>
        <w:tc>
          <w:tcPr>
            <w:tcW w:type="dxa" w:w="1152"/>
            <w:tcMar>
              <w:top w:w="80" w:type="dxa"/>
              <w:start w:w="90" w:type="dxa"/>
              <w:bottom w:w="80" w:type="dxa"/>
              <w:end w:w="90" w:type="dxa"/>
            </w:tcMar>
            <w:vAlign w:val="center"/>
          </w:tcPr>
          <w:p>
            <w:r>
              <w:rPr>
                <w:rFonts w:ascii="Liberation Sans" w:hAnsi="Liberation Sans"/>
                <w:color w:val="1C2430"/>
                <w:sz w:val="14"/>
              </w:rPr>
              <w:t>1.0</w:t>
            </w:r>
          </w:p>
        </w:tc>
        <w:tc>
          <w:tcPr>
            <w:tcW w:type="dxa" w:w="1152"/>
            <w:tcMar>
              <w:top w:w="80" w:type="dxa"/>
              <w:start w:w="90" w:type="dxa"/>
              <w:bottom w:w="80" w:type="dxa"/>
              <w:end w:w="90" w:type="dxa"/>
            </w:tcMar>
            <w:vAlign w:val="center"/>
          </w:tcPr>
          <w:p>
            <w:r>
              <w:rPr>
                <w:rFonts w:ascii="Liberation Sans" w:hAnsi="Liberation Sans"/>
                <w:color w:val="1C2430"/>
                <w:sz w:val="14"/>
              </w:rPr>
              <w:t>1.0</w:t>
            </w:r>
          </w:p>
        </w:tc>
        <w:tc>
          <w:tcPr>
            <w:tcW w:type="dxa" w:w="1008"/>
            <w:tcMar>
              <w:top w:w="80" w:type="dxa"/>
              <w:start w:w="90" w:type="dxa"/>
              <w:bottom w:w="80" w:type="dxa"/>
              <w:end w:w="90" w:type="dxa"/>
            </w:tcMar>
            <w:vAlign w:val="center"/>
          </w:tcPr>
          <w:p>
            <w:r>
              <w:rPr>
                <w:rFonts w:ascii="Liberation Sans" w:hAnsi="Liberation Sans"/>
                <w:color w:val="1C2430"/>
                <w:sz w:val="14"/>
              </w:rPr>
              <w:t>1.0</w:t>
            </w:r>
          </w:p>
        </w:tc>
        <w:tc>
          <w:tcPr>
            <w:tcW w:type="dxa" w:w="1584"/>
            <w:tcMar>
              <w:top w:w="80" w:type="dxa"/>
              <w:start w:w="90" w:type="dxa"/>
              <w:bottom w:w="80" w:type="dxa"/>
              <w:end w:w="90" w:type="dxa"/>
            </w:tcMar>
            <w:vAlign w:val="center"/>
          </w:tcPr>
          <w:p>
            <w:r>
              <w:rPr>
                <w:rFonts w:ascii="Liberation Sans" w:hAnsi="Liberation Sans"/>
                <w:color w:val="1C2430"/>
                <w:sz w:val="14"/>
              </w:rPr>
              <w:t>2.0</w:t>
            </w:r>
          </w:p>
        </w:tc>
        <w:tc>
          <w:tcPr>
            <w:tcW w:type="dxa" w:w="1584"/>
            <w:tcMar>
              <w:top w:w="80" w:type="dxa"/>
              <w:start w:w="90" w:type="dxa"/>
              <w:bottom w:w="80" w:type="dxa"/>
              <w:end w:w="90" w:type="dxa"/>
            </w:tcMar>
            <w:vAlign w:val="center"/>
          </w:tcPr>
          <w:p>
            <w:r>
              <w:rPr>
                <w:rFonts w:ascii="Liberation Sans" w:hAnsi="Liberation Sans"/>
                <w:color w:val="1C2430"/>
                <w:sz w:val="14"/>
              </w:rPr>
              <w:t>1.1/5</w:t>
            </w:r>
          </w:p>
        </w:tc>
      </w:tr>
    </w:tbl>
    <w:p>
      <w:pPr>
        <w:spacing w:after="20"/>
      </w:pPr>
    </w:p>
    <w:p>
      <w:r>
        <w:rPr>
          <w:rFonts w:ascii="Liberation Sans" w:hAnsi="Liberation Sans"/>
          <w:color w:val="1C2430"/>
          <w:sz w:val="19"/>
        </w:rPr>
        <w:t>* Scorurile mari pentru „celule vii” se referă la țesutul total și zonele valley; celulele exact din peak track pot fi sever afectate sau distruse. Stelele sunt o sinteză SCIENCE AI, nu ratinguri publicate de autori.</w:t>
      </w:r>
    </w:p>
    <w:p>
      <w:pPr>
        <w:pStyle w:val="Heading1"/>
      </w:pPr>
      <w:r>
        <w:t>14. Cel mai bun mecanism curent</w:t>
      </w:r>
    </w:p>
    <w:p>
      <w:pPr>
        <w:pStyle w:val="Equation"/>
        <w:jc w:val="center"/>
      </w:pPr>
      <w:r>
        <w:rPr>
          <w:rFonts w:ascii="Liberation Mono" w:hAnsi="Liberation Mono"/>
          <w:b w:val="0"/>
          <w:color w:val="1C2430"/>
          <w:sz w:val="18"/>
        </w:rPr>
        <w:t>P_preservation ∝ (V_valley × C_vascular × I_healthy/damaged × R_repair) / (D_absorbed × W_damage × B_valley)</w:t>
      </w:r>
    </w:p>
    <w:p>
      <w:r>
        <w:rPr>
          <w:rFonts w:ascii="Liberation Sans" w:hAnsi="Liberation Sans"/>
          <w:color w:val="1C2430"/>
          <w:sz w:val="19"/>
        </w:rPr>
        <w:t>Aceasta este o relație conceptuală, nu o ecuație clinică validată. Ea rezumă pattern-ul cross-study: țesutul supraviețuiește când majoritatea zonei rămâne vie și perfuzată, iar pista de damage este suficient de mică pentru a fi reparată/repopulată.</w:t>
      </w:r>
    </w:p>
    <w:p>
      <w:r>
        <w:rPr>
          <w:rFonts w:ascii="Liberation Sans" w:hAnsi="Liberation Sans"/>
          <w:color w:val="1C2430"/>
          <w:sz w:val="19"/>
        </w:rPr>
        <w:t>Pentru Bugorski, interpretarea cea mai economică este: pistă foarte îngustă + damage local enorm + volum mare de țesut vecin viabil → supraviețuire globală cu deficit local permanent. Nu este necesară ipoteza celulelor „nemuritoare”.</w:t>
      </w:r>
    </w:p>
    <w:p>
      <w:pPr>
        <w:pStyle w:val="Heading1"/>
      </w:pPr>
      <w:r>
        <w:t>15. Program decisiv de cercetare sigură</w:t>
      </w:r>
    </w:p>
    <w:p>
      <w:pPr>
        <w:pStyle w:val="ListNumber"/>
        <w:spacing w:after="40"/>
      </w:pPr>
      <w:r>
        <w:rPr>
          <w:rFonts w:ascii="Liberation Sans" w:hAnsi="Liberation Sans"/>
          <w:sz w:val="18"/>
        </w:rPr>
        <w:t>Folosește numai modele celulare/3D tissue, ex-vivo sau animale aprobate etic; fără auto-experimentare și fără expunere umană.</w:t>
      </w:r>
    </w:p>
    <w:p>
      <w:pPr>
        <w:pStyle w:val="ListNumber"/>
        <w:spacing w:after="40"/>
      </w:pPr>
      <w:r>
        <w:rPr>
          <w:rFonts w:ascii="Liberation Sans" w:hAnsi="Liberation Sans"/>
          <w:sz w:val="18"/>
        </w:rPr>
        <w:t>Variază independent geometria spațială, valley burden și dose-rate; energia particulei rămâne variabilă secundară.</w:t>
      </w:r>
    </w:p>
    <w:p>
      <w:pPr>
        <w:pStyle w:val="ListNumber"/>
        <w:spacing w:after="40"/>
      </w:pPr>
      <w:r>
        <w:rPr>
          <w:rFonts w:ascii="Liberation Sans" w:hAnsi="Liberation Sans"/>
          <w:sz w:val="18"/>
        </w:rPr>
        <w:t>Măsoară separat: cell viability, DNA damage, senescence, microvascular continuity, collagen/fibrosis și funcție.</w:t>
      </w:r>
    </w:p>
    <w:p>
      <w:pPr>
        <w:pStyle w:val="ListNumber"/>
        <w:spacing w:after="40"/>
      </w:pPr>
      <w:r>
        <w:rPr>
          <w:rFonts w:ascii="Liberation Sans" w:hAnsi="Liberation Sans"/>
          <w:sz w:val="18"/>
        </w:rPr>
        <w:t>Folosește matched-dose și matched-coverage controls pentru a separa beam width de percent tissue spared.</w:t>
      </w:r>
    </w:p>
    <w:p>
      <w:pPr>
        <w:pStyle w:val="ListNumber"/>
        <w:spacing w:after="40"/>
      </w:pPr>
      <w:r>
        <w:rPr>
          <w:rFonts w:ascii="Liberation Sans" w:hAnsi="Liberation Sans"/>
          <w:sz w:val="18"/>
        </w:rPr>
        <w:t>Testează dacă repair-ul provine din migrația/repopularea celulelor vecine și din refacerea microvasculară.</w:t>
      </w:r>
    </w:p>
    <w:p>
      <w:pPr>
        <w:pStyle w:val="ListNumber"/>
        <w:spacing w:after="40"/>
      </w:pPr>
      <w:r>
        <w:rPr>
          <w:rFonts w:ascii="Liberation Sans" w:hAnsi="Liberation Sans"/>
          <w:sz w:val="18"/>
        </w:rPr>
        <w:t>Replica independent orice semnal înainte de a vorbi despre preservation biologic.</w:t>
      </w:r>
    </w:p>
    <w:p>
      <w:pPr>
        <w:pStyle w:val="Heading1"/>
      </w:pPr>
      <w:r>
        <w:t>16. Limite, falsificatori și întrebări deschise</w:t>
      </w:r>
    </w:p>
    <w:p>
      <w:pPr>
        <w:pStyle w:val="ListBullet"/>
        <w:spacing w:after="40"/>
      </w:pPr>
      <w:r>
        <w:rPr>
          <w:rFonts w:ascii="Liberation Sans" w:hAnsi="Liberation Sans"/>
          <w:sz w:val="18"/>
        </w:rPr>
        <w:t>Nu există o doză umană „exactă” pentru preservation; orice număr unic ar fi precizie inventată.</w:t>
      </w:r>
    </w:p>
    <w:p>
      <w:pPr>
        <w:pStyle w:val="ListBullet"/>
        <w:spacing w:after="40"/>
      </w:pPr>
      <w:r>
        <w:rPr>
          <w:rFonts w:ascii="Liberation Sans" w:hAnsi="Liberation Sans"/>
          <w:sz w:val="18"/>
        </w:rPr>
        <w:t>Scalele de repair diferă probabil între creier, plămân, piele, mușchi și alte țesuturi.</w:t>
      </w:r>
    </w:p>
    <w:p>
      <w:pPr>
        <w:pStyle w:val="ListBullet"/>
        <w:spacing w:after="40"/>
      </w:pPr>
      <w:r>
        <w:rPr>
          <w:rFonts w:ascii="Liberation Sans" w:hAnsi="Liberation Sans"/>
          <w:sz w:val="18"/>
        </w:rPr>
        <w:t>RBE, LET și microdosimetria pot modifica rezultatul în alte regimuri decât cele low-LET modelate aici.</w:t>
      </w:r>
    </w:p>
    <w:p>
      <w:pPr>
        <w:pStyle w:val="ListBullet"/>
        <w:spacing w:after="40"/>
      </w:pPr>
      <w:r>
        <w:rPr>
          <w:rFonts w:ascii="Liberation Sans" w:hAnsi="Liberation Sans"/>
          <w:sz w:val="18"/>
        </w:rPr>
        <w:t>Un falsificator puternic al modelului ar fi o reproducere robustă în care celulele direct lovite la peak păstrează simultan viabilitate, ADN și funcție mai bine decât matched controls.</w:t>
      </w:r>
    </w:p>
    <w:p>
      <w:pPr>
        <w:pStyle w:val="ListBullet"/>
        <w:spacing w:after="40"/>
      </w:pPr>
      <w:r>
        <w:rPr>
          <w:rFonts w:ascii="Liberation Sans" w:hAnsi="Liberation Sans"/>
          <w:sz w:val="18"/>
        </w:rPr>
        <w:t>Un alt falsificator ar fi o demonstrație că energia per particulă, independent de dose/LET/geometry, schimbă dramatic preservation-ul.</w:t>
      </w:r>
    </w:p>
    <w:p>
      <w:pPr>
        <w:pStyle w:val="Heading1"/>
      </w:pPr>
      <w:r>
        <w:t>17. Concluzie</w:t>
      </w:r>
    </w:p>
    <w:p>
      <w:r>
        <w:rPr>
          <w:rFonts w:ascii="Liberation Sans" w:hAnsi="Liberation Sans"/>
          <w:color w:val="1C2430"/>
          <w:sz w:val="19"/>
        </w:rPr>
        <w:t>Ipoteza inițială despre coliziunea dintre „unda magnetică” și curentul nervos nu se susține. Dar întrebarea a deschis o pistă reală și mult mai interesantă: spatial rescue. Datele pe microbeam/minibeam și FLASH arată că țesutul poate tolera local peak doses foarte mari dacă damage-ul este microscopic iar țesutul dintre piste rămâne viabil și funcțional.</w:t>
      </w:r>
    </w:p>
    <w:p>
      <w:pPr>
        <w:pStyle w:val="Equation"/>
        <w:jc w:val="center"/>
      </w:pPr>
      <w:r>
        <w:rPr>
          <w:rFonts w:ascii="Liberation Mono" w:hAnsi="Liberation Mono"/>
          <w:b w:val="0"/>
          <w:color w:val="1C2430"/>
          <w:sz w:val="18"/>
        </w:rPr>
        <w:t>Concluzie:  secretul observat până acum = geometrie + valley viability + vascular continuity + repair, nu energie mare singură.</w:t>
      </w:r>
    </w:p>
    <w:p>
      <w:pPr>
        <w:pStyle w:val="Heading1"/>
      </w:pPr>
      <w:r>
        <w:t>Anexa A. Evoluția cercetării v1–v9</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cantSplit w:val="true"/>
        </w:trPr>
        <w:tc>
          <w:tcPr>
            <w:tcW w:type="dxa" w:w="864"/>
            <w:shd w:fill="17365D"/>
            <w:tcMar>
              <w:top w:w="80" w:type="dxa"/>
              <w:start w:w="90" w:type="dxa"/>
              <w:bottom w:w="80" w:type="dxa"/>
              <w:end w:w="90" w:type="dxa"/>
            </w:tcMar>
          </w:tcPr>
          <w:p>
            <w:pPr>
              <w:jc w:val="center"/>
            </w:pPr>
            <w:r>
              <w:rPr>
                <w:rFonts w:ascii="Liberation Sans" w:hAnsi="Liberation Sans"/>
                <w:b/>
                <w:color w:val="FFFFFF"/>
                <w:sz w:val="16"/>
              </w:rPr>
              <w:t>Versiune</w:t>
            </w:r>
          </w:p>
        </w:tc>
        <w:tc>
          <w:tcPr>
            <w:tcW w:type="dxa" w:w="4896"/>
            <w:shd w:fill="17365D"/>
            <w:tcMar>
              <w:top w:w="80" w:type="dxa"/>
              <w:start w:w="90" w:type="dxa"/>
              <w:bottom w:w="80" w:type="dxa"/>
              <w:end w:w="90" w:type="dxa"/>
            </w:tcMar>
          </w:tcPr>
          <w:p>
            <w:pPr>
              <w:jc w:val="center"/>
            </w:pPr>
            <w:r>
              <w:rPr>
                <w:rFonts w:ascii="Liberation Sans" w:hAnsi="Liberation Sans"/>
                <w:b/>
                <w:color w:val="FFFFFF"/>
                <w:sz w:val="16"/>
              </w:rPr>
              <w:t>Pas principal</w:t>
            </w:r>
          </w:p>
        </w:tc>
        <w:tc>
          <w:tcPr>
            <w:tcW w:type="dxa" w:w="3600"/>
            <w:shd w:fill="17365D"/>
            <w:tcMar>
              <w:top w:w="80" w:type="dxa"/>
              <w:start w:w="90" w:type="dxa"/>
              <w:bottom w:w="80" w:type="dxa"/>
              <w:end w:w="90" w:type="dxa"/>
            </w:tcMar>
          </w:tcPr>
          <w:p>
            <w:pPr>
              <w:jc w:val="center"/>
            </w:pPr>
            <w:r>
              <w:rPr>
                <w:rFonts w:ascii="Liberation Sans" w:hAnsi="Liberation Sans"/>
                <w:b/>
                <w:color w:val="FFFFFF"/>
                <w:sz w:val="16"/>
              </w:rPr>
              <w:t>Verdict</w:t>
            </w:r>
          </w:p>
        </w:tc>
      </w:tr>
      <w:tr>
        <w:trPr>
          <w:cantSplit w:val="true"/>
        </w:trPr>
        <w:tc>
          <w:tcPr>
            <w:tcW w:type="dxa" w:w="864"/>
            <w:tcMar>
              <w:top w:w="80" w:type="dxa"/>
              <w:start w:w="90" w:type="dxa"/>
              <w:bottom w:w="80" w:type="dxa"/>
              <w:end w:w="90" w:type="dxa"/>
            </w:tcMar>
            <w:vAlign w:val="center"/>
          </w:tcPr>
          <w:p>
            <w:r>
              <w:rPr>
                <w:rFonts w:ascii="Liberation Sans" w:hAnsi="Liberation Sans"/>
                <w:color w:val="1C2430"/>
                <w:sz w:val="16"/>
              </w:rPr>
              <w:t>v1</w:t>
            </w:r>
          </w:p>
        </w:tc>
        <w:tc>
          <w:tcPr>
            <w:tcW w:type="dxa" w:w="4896"/>
            <w:tcMar>
              <w:top w:w="80" w:type="dxa"/>
              <w:start w:w="90" w:type="dxa"/>
              <w:bottom w:w="80" w:type="dxa"/>
              <w:end w:w="90" w:type="dxa"/>
            </w:tcMar>
            <w:vAlign w:val="center"/>
          </w:tcPr>
          <w:p>
            <w:r>
              <w:rPr>
                <w:rFonts w:ascii="Liberation Sans" w:hAnsi="Liberation Sans"/>
                <w:color w:val="1C2430"/>
                <w:sz w:val="16"/>
              </w:rPr>
              <w:t>Identificarea cazului Bugorski și separarea faptelor de legendă</w:t>
            </w:r>
          </w:p>
        </w:tc>
        <w:tc>
          <w:tcPr>
            <w:tcW w:type="dxa" w:w="3600"/>
            <w:tcMar>
              <w:top w:w="80" w:type="dxa"/>
              <w:start w:w="90" w:type="dxa"/>
              <w:bottom w:w="80" w:type="dxa"/>
              <w:end w:w="90" w:type="dxa"/>
            </w:tcMar>
            <w:vAlign w:val="center"/>
          </w:tcPr>
          <w:p>
            <w:r>
              <w:rPr>
                <w:rFonts w:ascii="Liberation Sans" w:hAnsi="Liberation Sans"/>
                <w:color w:val="1C2430"/>
                <w:sz w:val="16"/>
              </w:rPr>
              <w:t>IDENTITY MATCH; postmortem claim UNVERIFIED</w:t>
            </w:r>
          </w:p>
        </w:tc>
      </w:tr>
      <w:tr>
        <w:trPr>
          <w:cantSplit w:val="true"/>
        </w:trPr>
        <w:tc>
          <w:tcPr>
            <w:tcW w:type="dxa" w:w="864"/>
            <w:tcMar>
              <w:top w:w="80" w:type="dxa"/>
              <w:start w:w="90" w:type="dxa"/>
              <w:bottom w:w="80" w:type="dxa"/>
              <w:end w:w="90" w:type="dxa"/>
            </w:tcMar>
            <w:vAlign w:val="center"/>
          </w:tcPr>
          <w:p>
            <w:r>
              <w:rPr>
                <w:rFonts w:ascii="Liberation Sans" w:hAnsi="Liberation Sans"/>
                <w:color w:val="1C2430"/>
                <w:sz w:val="16"/>
              </w:rPr>
              <w:t>v2</w:t>
            </w:r>
          </w:p>
        </w:tc>
        <w:tc>
          <w:tcPr>
            <w:tcW w:type="dxa" w:w="4896"/>
            <w:tcMar>
              <w:top w:w="80" w:type="dxa"/>
              <w:start w:w="90" w:type="dxa"/>
              <w:bottom w:w="80" w:type="dxa"/>
              <w:end w:w="90" w:type="dxa"/>
            </w:tcMar>
            <w:vAlign w:val="center"/>
          </w:tcPr>
          <w:p>
            <w:r>
              <w:rPr>
                <w:rFonts w:ascii="Liberation Sans" w:hAnsi="Liberation Sans"/>
                <w:color w:val="1C2430"/>
                <w:sz w:val="16"/>
              </w:rPr>
              <w:t>Testul „proton field + nerve current”</w:t>
            </w:r>
          </w:p>
        </w:tc>
        <w:tc>
          <w:tcPr>
            <w:tcW w:type="dxa" w:w="3600"/>
            <w:tcMar>
              <w:top w:w="80" w:type="dxa"/>
              <w:start w:w="90" w:type="dxa"/>
              <w:bottom w:w="80" w:type="dxa"/>
              <w:end w:w="90" w:type="dxa"/>
            </w:tcMar>
            <w:vAlign w:val="center"/>
          </w:tcPr>
          <w:p>
            <w:r>
              <w:rPr>
                <w:rFonts w:ascii="Liberation Sans" w:hAnsi="Liberation Sans"/>
                <w:color w:val="1C2430"/>
                <w:sz w:val="16"/>
              </w:rPr>
              <w:t>FAILED / unsupported</w:t>
            </w:r>
          </w:p>
        </w:tc>
      </w:tr>
      <w:tr>
        <w:trPr>
          <w:cantSplit w:val="true"/>
        </w:trPr>
        <w:tc>
          <w:tcPr>
            <w:tcW w:type="dxa" w:w="864"/>
            <w:tcMar>
              <w:top w:w="80" w:type="dxa"/>
              <w:start w:w="90" w:type="dxa"/>
              <w:bottom w:w="80" w:type="dxa"/>
              <w:end w:w="90" w:type="dxa"/>
            </w:tcMar>
            <w:vAlign w:val="center"/>
          </w:tcPr>
          <w:p>
            <w:r>
              <w:rPr>
                <w:rFonts w:ascii="Liberation Sans" w:hAnsi="Liberation Sans"/>
                <w:color w:val="1C2430"/>
                <w:sz w:val="16"/>
              </w:rPr>
              <w:t>v3</w:t>
            </w:r>
          </w:p>
        </w:tc>
        <w:tc>
          <w:tcPr>
            <w:tcW w:type="dxa" w:w="4896"/>
            <w:tcMar>
              <w:top w:w="80" w:type="dxa"/>
              <w:start w:w="90" w:type="dxa"/>
              <w:bottom w:w="80" w:type="dxa"/>
              <w:end w:w="90" w:type="dxa"/>
            </w:tcMar>
            <w:vAlign w:val="center"/>
          </w:tcPr>
          <w:p>
            <w:r>
              <w:rPr>
                <w:rFonts w:ascii="Liberation Sans" w:hAnsi="Liberation Sans"/>
                <w:color w:val="1C2430"/>
                <w:sz w:val="16"/>
              </w:rPr>
              <w:t>Preservation branch: microbes vs viability</w:t>
            </w:r>
          </w:p>
        </w:tc>
        <w:tc>
          <w:tcPr>
            <w:tcW w:type="dxa" w:w="3600"/>
            <w:tcMar>
              <w:top w:w="80" w:type="dxa"/>
              <w:start w:w="90" w:type="dxa"/>
              <w:bottom w:w="80" w:type="dxa"/>
              <w:end w:w="90" w:type="dxa"/>
            </w:tcMar>
            <w:vAlign w:val="center"/>
          </w:tcPr>
          <w:p>
            <w:r>
              <w:rPr>
                <w:rFonts w:ascii="Liberation Sans" w:hAnsi="Liberation Sans"/>
                <w:color w:val="1C2430"/>
                <w:sz w:val="16"/>
              </w:rPr>
              <w:t>Preservation ≠ life</w:t>
            </w:r>
          </w:p>
        </w:tc>
      </w:tr>
      <w:tr>
        <w:trPr>
          <w:cantSplit w:val="true"/>
        </w:trPr>
        <w:tc>
          <w:tcPr>
            <w:tcW w:type="dxa" w:w="864"/>
            <w:tcMar>
              <w:top w:w="80" w:type="dxa"/>
              <w:start w:w="90" w:type="dxa"/>
              <w:bottom w:w="80" w:type="dxa"/>
              <w:end w:w="90" w:type="dxa"/>
            </w:tcMar>
            <w:vAlign w:val="center"/>
          </w:tcPr>
          <w:p>
            <w:r>
              <w:rPr>
                <w:rFonts w:ascii="Liberation Sans" w:hAnsi="Liberation Sans"/>
                <w:color w:val="1C2430"/>
                <w:sz w:val="16"/>
              </w:rPr>
              <w:t>v4</w:t>
            </w:r>
          </w:p>
        </w:tc>
        <w:tc>
          <w:tcPr>
            <w:tcW w:type="dxa" w:w="4896"/>
            <w:tcMar>
              <w:top w:w="80" w:type="dxa"/>
              <w:start w:w="90" w:type="dxa"/>
              <w:bottom w:w="80" w:type="dxa"/>
              <w:end w:w="90" w:type="dxa"/>
            </w:tcMar>
            <w:vAlign w:val="center"/>
          </w:tcPr>
          <w:p>
            <w:r>
              <w:rPr>
                <w:rFonts w:ascii="Liberation Sans" w:hAnsi="Liberation Sans"/>
                <w:color w:val="1C2430"/>
                <w:sz w:val="16"/>
              </w:rPr>
              <w:t>Benchmark all-level Bugorski</w:t>
            </w:r>
          </w:p>
        </w:tc>
        <w:tc>
          <w:tcPr>
            <w:tcW w:type="dxa" w:w="3600"/>
            <w:tcMar>
              <w:top w:w="80" w:type="dxa"/>
              <w:start w:w="90" w:type="dxa"/>
              <w:bottom w:w="80" w:type="dxa"/>
              <w:end w:w="90" w:type="dxa"/>
            </w:tcMar>
            <w:vAlign w:val="center"/>
          </w:tcPr>
          <w:p>
            <w:r>
              <w:rPr>
                <w:rFonts w:ascii="Liberation Sans" w:hAnsi="Liberation Sans"/>
                <w:color w:val="1C2430"/>
                <w:sz w:val="16"/>
              </w:rPr>
              <w:t>Semnal vizual/structural &gt; semnal biologic</w:t>
            </w:r>
          </w:p>
        </w:tc>
      </w:tr>
      <w:tr>
        <w:trPr>
          <w:cantSplit w:val="true"/>
        </w:trPr>
        <w:tc>
          <w:tcPr>
            <w:tcW w:type="dxa" w:w="864"/>
            <w:tcMar>
              <w:top w:w="80" w:type="dxa"/>
              <w:start w:w="90" w:type="dxa"/>
              <w:bottom w:w="80" w:type="dxa"/>
              <w:end w:w="90" w:type="dxa"/>
            </w:tcMar>
            <w:vAlign w:val="center"/>
          </w:tcPr>
          <w:p>
            <w:r>
              <w:rPr>
                <w:rFonts w:ascii="Liberation Sans" w:hAnsi="Liberation Sans"/>
                <w:color w:val="1C2430"/>
                <w:sz w:val="16"/>
              </w:rPr>
              <w:t>v5</w:t>
            </w:r>
          </w:p>
        </w:tc>
        <w:tc>
          <w:tcPr>
            <w:tcW w:type="dxa" w:w="4896"/>
            <w:tcMar>
              <w:top w:w="80" w:type="dxa"/>
              <w:start w:w="90" w:type="dxa"/>
              <w:bottom w:w="80" w:type="dxa"/>
              <w:end w:w="90" w:type="dxa"/>
            </w:tcMar>
            <w:vAlign w:val="center"/>
          </w:tcPr>
          <w:p>
            <w:r>
              <w:rPr>
                <w:rFonts w:ascii="Liberation Sans" w:hAnsi="Liberation Sans"/>
                <w:color w:val="1C2430"/>
                <w:sz w:val="16"/>
              </w:rPr>
              <w:t>Cross-species benchmark</w:t>
            </w:r>
          </w:p>
        </w:tc>
        <w:tc>
          <w:tcPr>
            <w:tcW w:type="dxa" w:w="3600"/>
            <w:tcMar>
              <w:top w:w="80" w:type="dxa"/>
              <w:start w:w="90" w:type="dxa"/>
              <w:bottom w:w="80" w:type="dxa"/>
              <w:end w:w="90" w:type="dxa"/>
            </w:tcMar>
            <w:vAlign w:val="center"/>
          </w:tcPr>
          <w:p>
            <w:r>
              <w:rPr>
                <w:rFonts w:ascii="Liberation Sans" w:hAnsi="Liberation Sans"/>
                <w:color w:val="1C2430"/>
                <w:sz w:val="16"/>
              </w:rPr>
              <w:t>Bacterii/țesuturi: sterilizare; animale: damage + sparing geometry</w:t>
            </w:r>
          </w:p>
        </w:tc>
      </w:tr>
      <w:tr>
        <w:trPr>
          <w:cantSplit w:val="true"/>
        </w:trPr>
        <w:tc>
          <w:tcPr>
            <w:tcW w:type="dxa" w:w="864"/>
            <w:tcMar>
              <w:top w:w="80" w:type="dxa"/>
              <w:start w:w="90" w:type="dxa"/>
              <w:bottom w:w="80" w:type="dxa"/>
              <w:end w:w="90" w:type="dxa"/>
            </w:tcMar>
            <w:vAlign w:val="center"/>
          </w:tcPr>
          <w:p>
            <w:r>
              <w:rPr>
                <w:rFonts w:ascii="Liberation Sans" w:hAnsi="Liberation Sans"/>
                <w:color w:val="1C2430"/>
                <w:sz w:val="16"/>
              </w:rPr>
              <w:t>v6</w:t>
            </w:r>
          </w:p>
        </w:tc>
        <w:tc>
          <w:tcPr>
            <w:tcW w:type="dxa" w:w="4896"/>
            <w:tcMar>
              <w:top w:w="80" w:type="dxa"/>
              <w:start w:w="90" w:type="dxa"/>
              <w:bottom w:w="80" w:type="dxa"/>
              <w:end w:w="90" w:type="dxa"/>
            </w:tcMar>
            <w:vAlign w:val="center"/>
          </w:tcPr>
          <w:p>
            <w:r>
              <w:rPr>
                <w:rFonts w:ascii="Liberation Sans" w:hAnsi="Liberation Sans"/>
                <w:color w:val="1C2430"/>
                <w:sz w:val="16"/>
              </w:rPr>
              <w:t>Very high local dose + microvolume</w:t>
            </w:r>
          </w:p>
        </w:tc>
        <w:tc>
          <w:tcPr>
            <w:tcW w:type="dxa" w:w="3600"/>
            <w:tcMar>
              <w:top w:w="80" w:type="dxa"/>
              <w:start w:w="90" w:type="dxa"/>
              <w:bottom w:w="80" w:type="dxa"/>
              <w:end w:w="90" w:type="dxa"/>
            </w:tcMar>
            <w:vAlign w:val="center"/>
          </w:tcPr>
          <w:p>
            <w:r>
              <w:rPr>
                <w:rFonts w:ascii="Liberation Sans" w:hAnsi="Liberation Sans"/>
                <w:color w:val="1C2430"/>
                <w:sz w:val="16"/>
              </w:rPr>
              <w:t>Spatial fractionation supported</w:t>
            </w:r>
          </w:p>
        </w:tc>
      </w:tr>
      <w:tr>
        <w:trPr>
          <w:cantSplit w:val="true"/>
        </w:trPr>
        <w:tc>
          <w:tcPr>
            <w:tcW w:type="dxa" w:w="864"/>
            <w:tcMar>
              <w:top w:w="80" w:type="dxa"/>
              <w:start w:w="90" w:type="dxa"/>
              <w:bottom w:w="80" w:type="dxa"/>
              <w:end w:w="90" w:type="dxa"/>
            </w:tcMar>
            <w:vAlign w:val="center"/>
          </w:tcPr>
          <w:p>
            <w:r>
              <w:rPr>
                <w:rFonts w:ascii="Liberation Sans" w:hAnsi="Liberation Sans"/>
                <w:color w:val="1C2430"/>
                <w:sz w:val="16"/>
              </w:rPr>
              <w:t>v7</w:t>
            </w:r>
          </w:p>
        </w:tc>
        <w:tc>
          <w:tcPr>
            <w:tcW w:type="dxa" w:w="4896"/>
            <w:tcMar>
              <w:top w:w="80" w:type="dxa"/>
              <w:start w:w="90" w:type="dxa"/>
              <w:bottom w:w="80" w:type="dxa"/>
              <w:end w:w="90" w:type="dxa"/>
            </w:tcMar>
            <w:vAlign w:val="center"/>
          </w:tcPr>
          <w:p>
            <w:r>
              <w:rPr>
                <w:rFonts w:ascii="Liberation Sans" w:hAnsi="Liberation Sans"/>
                <w:color w:val="1C2430"/>
                <w:sz w:val="16"/>
              </w:rPr>
              <w:t>1.152 combinații hidden-pattern</w:t>
            </w:r>
          </w:p>
        </w:tc>
        <w:tc>
          <w:tcPr>
            <w:tcW w:type="dxa" w:w="3600"/>
            <w:tcMar>
              <w:top w:w="80" w:type="dxa"/>
              <w:start w:w="90" w:type="dxa"/>
              <w:bottom w:w="80" w:type="dxa"/>
              <w:end w:w="90" w:type="dxa"/>
            </w:tcMar>
            <w:vAlign w:val="center"/>
          </w:tcPr>
          <w:p>
            <w:r>
              <w:rPr>
                <w:rFonts w:ascii="Liberation Sans" w:hAnsi="Liberation Sans"/>
                <w:color w:val="1C2430"/>
                <w:sz w:val="16"/>
              </w:rPr>
              <w:t>Dose + width dominate; energy secondary</w:t>
            </w:r>
          </w:p>
        </w:tc>
      </w:tr>
      <w:tr>
        <w:trPr>
          <w:cantSplit w:val="true"/>
        </w:trPr>
        <w:tc>
          <w:tcPr>
            <w:tcW w:type="dxa" w:w="864"/>
            <w:tcMar>
              <w:top w:w="80" w:type="dxa"/>
              <w:start w:w="90" w:type="dxa"/>
              <w:bottom w:w="80" w:type="dxa"/>
              <w:end w:w="90" w:type="dxa"/>
            </w:tcMar>
            <w:vAlign w:val="center"/>
          </w:tcPr>
          <w:p>
            <w:r>
              <w:rPr>
                <w:rFonts w:ascii="Liberation Sans" w:hAnsi="Liberation Sans"/>
                <w:color w:val="1C2430"/>
                <w:sz w:val="16"/>
              </w:rPr>
              <w:t>v8</w:t>
            </w:r>
          </w:p>
        </w:tc>
        <w:tc>
          <w:tcPr>
            <w:tcW w:type="dxa" w:w="4896"/>
            <w:tcMar>
              <w:top w:w="80" w:type="dxa"/>
              <w:start w:w="90" w:type="dxa"/>
              <w:bottom w:w="80" w:type="dxa"/>
              <w:end w:w="90" w:type="dxa"/>
            </w:tcMar>
            <w:vAlign w:val="center"/>
          </w:tcPr>
          <w:p>
            <w:r>
              <w:rPr>
                <w:rFonts w:ascii="Liberation Sans" w:hAnsi="Liberation Sans"/>
                <w:color w:val="1C2430"/>
                <w:sz w:val="16"/>
              </w:rPr>
              <w:t>Two-Gate Spatial Rescue</w:t>
            </w:r>
          </w:p>
        </w:tc>
        <w:tc>
          <w:tcPr>
            <w:tcW w:type="dxa" w:w="3600"/>
            <w:tcMar>
              <w:top w:w="80" w:type="dxa"/>
              <w:start w:w="90" w:type="dxa"/>
              <w:bottom w:w="80" w:type="dxa"/>
              <w:end w:w="90" w:type="dxa"/>
            </w:tcMar>
            <w:vAlign w:val="center"/>
          </w:tcPr>
          <w:p>
            <w:r>
              <w:rPr>
                <w:rFonts w:ascii="Liberation Sans" w:hAnsi="Liberation Sans"/>
                <w:color w:val="1C2430"/>
                <w:sz w:val="16"/>
              </w:rPr>
              <w:t>Valley gate + repair-distance gate</w:t>
            </w:r>
          </w:p>
        </w:tc>
      </w:tr>
      <w:tr>
        <w:trPr>
          <w:cantSplit w:val="true"/>
        </w:trPr>
        <w:tc>
          <w:tcPr>
            <w:tcW w:type="dxa" w:w="864"/>
            <w:tcMar>
              <w:top w:w="80" w:type="dxa"/>
              <w:start w:w="90" w:type="dxa"/>
              <w:bottom w:w="80" w:type="dxa"/>
              <w:end w:w="90" w:type="dxa"/>
            </w:tcMar>
            <w:vAlign w:val="center"/>
          </w:tcPr>
          <w:p>
            <w:r>
              <w:rPr>
                <w:rFonts w:ascii="Liberation Sans" w:hAnsi="Liberation Sans"/>
                <w:color w:val="1C2430"/>
                <w:sz w:val="16"/>
              </w:rPr>
              <w:t>v9</w:t>
            </w:r>
          </w:p>
        </w:tc>
        <w:tc>
          <w:tcPr>
            <w:tcW w:type="dxa" w:w="4896"/>
            <w:tcMar>
              <w:top w:w="80" w:type="dxa"/>
              <w:start w:w="90" w:type="dxa"/>
              <w:bottom w:w="80" w:type="dxa"/>
              <w:end w:w="90" w:type="dxa"/>
            </w:tcMar>
            <w:vAlign w:val="center"/>
          </w:tcPr>
          <w:p>
            <w:r>
              <w:rPr>
                <w:rFonts w:ascii="Liberation Sans" w:hAnsi="Liberation Sans"/>
                <w:color w:val="1C2430"/>
                <w:sz w:val="16"/>
              </w:rPr>
              <w:t>Huge research Bugorski-like</w:t>
            </w:r>
          </w:p>
        </w:tc>
        <w:tc>
          <w:tcPr>
            <w:tcW w:type="dxa" w:w="3600"/>
            <w:tcMar>
              <w:top w:w="80" w:type="dxa"/>
              <w:start w:w="90" w:type="dxa"/>
              <w:bottom w:w="80" w:type="dxa"/>
              <w:end w:w="90" w:type="dxa"/>
            </w:tcMar>
            <w:vAlign w:val="center"/>
          </w:tcPr>
          <w:p>
            <w:r>
              <w:rPr>
                <w:rFonts w:ascii="Liberation Sans" w:hAnsi="Liberation Sans"/>
                <w:color w:val="1C2430"/>
                <w:sz w:val="16"/>
              </w:rPr>
              <w:t>Viable Spatial Rescue = best current model</w:t>
            </w:r>
          </w:p>
        </w:tc>
      </w:tr>
    </w:tbl>
    <w:p>
      <w:pPr>
        <w:spacing w:after="20"/>
      </w:pPr>
    </w:p>
    <w:p>
      <w:pPr>
        <w:pStyle w:val="Heading1"/>
      </w:pPr>
      <w:r>
        <w:t>Anexa B. Ecuații și rezultate computaționale</w:t>
      </w:r>
    </w:p>
    <w:p>
      <w:pPr>
        <w:pStyle w:val="ListBullet"/>
        <w:spacing w:after="40"/>
      </w:pPr>
      <w:r>
        <w:rPr>
          <w:rFonts w:ascii="Liberation Sans" w:hAnsi="Liberation Sans"/>
          <w:sz w:val="18"/>
        </w:rPr>
        <w:t>v/c ≈ 0.99992564 pentru proton de 76 GeV kinetic.</w:t>
      </w:r>
    </w:p>
    <w:p>
      <w:pPr>
        <w:pStyle w:val="ListBullet"/>
        <w:spacing w:after="40"/>
      </w:pPr>
      <w:r>
        <w:rPr>
          <w:rFonts w:ascii="Liberation Sans" w:hAnsi="Liberation Sans"/>
          <w:sz w:val="18"/>
        </w:rPr>
        <w:t>f_total ≈ 1.86×10^25 Hz este frecvență cuantică de fază, nu „frecvență magnetică biologică”.</w:t>
      </w:r>
    </w:p>
    <w:p>
      <w:pPr>
        <w:pStyle w:val="ListBullet"/>
        <w:spacing w:after="40"/>
      </w:pPr>
      <w:r>
        <w:rPr>
          <w:rFonts w:ascii="Liberation Sans" w:hAnsi="Liberation Sans"/>
          <w:sz w:val="18"/>
        </w:rPr>
        <w:t>Sweep v7: 1.152 combinații energy × dose × width × FLASH-like.</w:t>
      </w:r>
    </w:p>
    <w:p>
      <w:pPr>
        <w:pStyle w:val="ListBullet"/>
        <w:spacing w:after="40"/>
      </w:pPr>
      <w:r>
        <w:rPr>
          <w:rFonts w:ascii="Liberation Sans" w:hAnsi="Liberation Sans"/>
          <w:sz w:val="18"/>
        </w:rPr>
        <w:t>Corelații euristice: dose +0.635; width +0.494; energy −0.005; FLASH −0.081.</w:t>
      </w:r>
    </w:p>
    <w:p>
      <w:pPr>
        <w:pStyle w:val="ListBullet"/>
        <w:spacing w:after="40"/>
      </w:pPr>
      <w:r>
        <w:rPr>
          <w:rFonts w:ascii="Liberation Sans" w:hAnsi="Liberation Sans"/>
          <w:sz w:val="18"/>
        </w:rPr>
        <w:t>Rat-lung matched comparison: wider track ~3.11× fibrosis la ~250 Gy și ~1.78× la ~500 Gy, deși valley dose este mai mică.</w:t>
      </w:r>
    </w:p>
    <w:p>
      <w:pPr>
        <w:pStyle w:val="ListBullet"/>
        <w:spacing w:after="40"/>
      </w:pPr>
      <w:r>
        <w:rPr>
          <w:rFonts w:ascii="Liberation Sans" w:hAnsi="Liberation Sans"/>
          <w:sz w:val="18"/>
        </w:rPr>
        <w:t>Exploratory regression n=8: log(peak)+log(width) R²≈0.79; log(valley)+log(width) R²≈0.79.</w:t>
      </w:r>
    </w:p>
    <w:p>
      <w:pPr>
        <w:pStyle w:val="Heading1"/>
      </w:pPr>
      <w:r>
        <w:t>Anexa C. Referințe principale</w:t>
      </w:r>
    </w:p>
    <w:p>
      <w:pPr>
        <w:pStyle w:val="Small"/>
        <w:ind w:hanging="360" w:left="360"/>
      </w:pPr>
      <w:r>
        <w:rPr>
          <w:rFonts w:ascii="Liberation Sans" w:hAnsi="Liberation Sans"/>
          <w:color w:val="1C2430"/>
          <w:sz w:val="16"/>
        </w:rPr>
        <w:t>[B1] Relatări istorice și educaționale despre accidentul Bugorski / U-70; 76 GeV protons.</w:t>
      </w:r>
      <w:r>
        <w:rPr>
          <w:rFonts w:ascii="Liberation Sans" w:hAnsi="Liberation Sans"/>
          <w:color w:val="2F5597"/>
          <w:sz w:val="15"/>
        </w:rPr>
        <w:t xml:space="preserve">  https://spark.iop.org/man-who-was-hit-proton-current</w:t>
      </w:r>
    </w:p>
    <w:p>
      <w:pPr>
        <w:pStyle w:val="Small"/>
        <w:ind w:hanging="360" w:left="360"/>
      </w:pPr>
      <w:r>
        <w:rPr>
          <w:rFonts w:ascii="Liberation Sans" w:hAnsi="Liberation Sans"/>
          <w:color w:val="1C2430"/>
          <w:sz w:val="16"/>
        </w:rPr>
        <w:t>[B2] High-energy proton transmission beams: in-vitro radiobiology / RBE near unity in tested lines (2026).</w:t>
      </w:r>
      <w:r>
        <w:rPr>
          <w:rFonts w:ascii="Liberation Sans" w:hAnsi="Liberation Sans"/>
          <w:color w:val="2F5597"/>
          <w:sz w:val="15"/>
        </w:rPr>
        <w:t xml:space="preserve">  https://pubmed.ncbi.nlm.nih.gov/42285158/</w:t>
      </w:r>
    </w:p>
    <w:p>
      <w:pPr>
        <w:pStyle w:val="Small"/>
        <w:ind w:hanging="360" w:left="360"/>
      </w:pPr>
      <w:r>
        <w:rPr>
          <w:rFonts w:ascii="Liberation Sans" w:hAnsi="Liberation Sans"/>
          <w:color w:val="1C2430"/>
          <w:sz w:val="16"/>
        </w:rPr>
        <w:t>[B3] Proton minibeam radiation therapy in rat brain; same average dose, strong normal-tissue sparing.</w:t>
      </w:r>
      <w:r>
        <w:rPr>
          <w:rFonts w:ascii="Liberation Sans" w:hAnsi="Liberation Sans"/>
          <w:color w:val="2F5597"/>
          <w:sz w:val="15"/>
        </w:rPr>
        <w:t xml:space="preserve">  https://pmc.ncbi.nlm.nih.gov/articles/PMC5663851/</w:t>
      </w:r>
    </w:p>
    <w:p>
      <w:pPr>
        <w:pStyle w:val="Small"/>
        <w:ind w:hanging="360" w:left="360"/>
      </w:pPr>
      <w:r>
        <w:rPr>
          <w:rFonts w:ascii="Liberation Sans" w:hAnsi="Liberation Sans"/>
          <w:color w:val="1C2430"/>
          <w:sz w:val="16"/>
        </w:rPr>
        <w:t>[B4] Mouse-ear proton minibeam geometry study; beam size/spacing versus tissue reaction.</w:t>
      </w:r>
      <w:r>
        <w:rPr>
          <w:rFonts w:ascii="Liberation Sans" w:hAnsi="Liberation Sans"/>
          <w:color w:val="2F5597"/>
          <w:sz w:val="15"/>
        </w:rPr>
        <w:t xml:space="preserve">  https://pmc.ncbi.nlm.nih.gov/articles/PMC6876838/</w:t>
      </w:r>
    </w:p>
    <w:p>
      <w:pPr>
        <w:pStyle w:val="Small"/>
        <w:ind w:hanging="360" w:left="360"/>
      </w:pPr>
      <w:r>
        <w:rPr>
          <w:rFonts w:ascii="Liberation Sans" w:hAnsi="Liberation Sans"/>
          <w:color w:val="1C2430"/>
          <w:sz w:val="16"/>
        </w:rPr>
        <w:t>[B5] Rat-lung FLASH microbeam study; 50 µm versus 500 µm tracks and fibrosis.</w:t>
      </w:r>
      <w:r>
        <w:rPr>
          <w:rFonts w:ascii="Liberation Sans" w:hAnsi="Liberation Sans"/>
          <w:color w:val="2F5597"/>
          <w:sz w:val="15"/>
        </w:rPr>
        <w:t xml:space="preserve">  https://pmc.ncbi.nlm.nih.gov/articles/PMC8864723/</w:t>
      </w:r>
    </w:p>
    <w:p>
      <w:pPr>
        <w:pStyle w:val="Small"/>
        <w:ind w:hanging="360" w:left="360"/>
      </w:pPr>
      <w:r>
        <w:rPr>
          <w:rFonts w:ascii="Liberation Sans" w:hAnsi="Liberation Sans"/>
          <w:color w:val="1C2430"/>
          <w:sz w:val="16"/>
        </w:rPr>
        <w:t>[B6] Microbeam radiation therapy reviews: peak/valley effects, vascular and neighboring-cell repair.</w:t>
      </w:r>
      <w:r>
        <w:rPr>
          <w:rFonts w:ascii="Liberation Sans" w:hAnsi="Liberation Sans"/>
          <w:color w:val="2F5597"/>
          <w:sz w:val="15"/>
        </w:rPr>
        <w:t xml:space="preserve">  https://pmc.ncbi.nlm.nih.gov/articles/PMC7139755/</w:t>
      </w:r>
    </w:p>
    <w:p>
      <w:pPr>
        <w:pStyle w:val="Small"/>
        <w:ind w:hanging="360" w:left="360"/>
      </w:pPr>
      <w:r>
        <w:rPr>
          <w:rFonts w:ascii="Liberation Sans" w:hAnsi="Liberation Sans"/>
          <w:color w:val="1C2430"/>
          <w:sz w:val="16"/>
        </w:rPr>
        <w:t>[B7] Proton FLASH preclinical normal-tissue sparing.</w:t>
      </w:r>
      <w:r>
        <w:rPr>
          <w:rFonts w:ascii="Liberation Sans" w:hAnsi="Liberation Sans"/>
          <w:color w:val="2F5597"/>
          <w:sz w:val="15"/>
        </w:rPr>
        <w:t xml:space="preserve">  https://pubmed.ncbi.nlm.nih.gov/35595175/</w:t>
      </w:r>
    </w:p>
    <w:p>
      <w:pPr>
        <w:pStyle w:val="Small"/>
        <w:ind w:hanging="360" w:left="360"/>
      </w:pPr>
      <w:r>
        <w:rPr>
          <w:rFonts w:ascii="Liberation Sans" w:hAnsi="Liberation Sans"/>
          <w:color w:val="1C2430"/>
          <w:sz w:val="16"/>
        </w:rPr>
        <w:t>[B8] Low-fluence energetic particle bystander/adaptive-response literature.</w:t>
      </w:r>
      <w:r>
        <w:rPr>
          <w:rFonts w:ascii="Liberation Sans" w:hAnsi="Liberation Sans"/>
          <w:color w:val="2F5597"/>
          <w:sz w:val="15"/>
        </w:rPr>
        <w:t xml:space="preserve">  https://pmc.ncbi.nlm.nih.gov/articles/PMC4426929/</w:t>
      </w:r>
    </w:p>
    <w:sectPr w:rsidR="00FC693F" w:rsidRPr="0006063C" w:rsidSect="00034616">
      <w:headerReference w:type="default" r:id="rId9"/>
      <w:footerReference w:type="default" r:id="rId10"/>
      <w:pgSz w:w="12240" w:h="15840"/>
      <w:pgMar w:top="1037" w:right="1037"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573"/>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b/>
        <w:color w:val="5B6573"/>
        <w:sz w:val="16"/>
      </w:rPr>
      <w:t>Bugorski / Spatial Rescue — 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9" w:lineRule="auto"/>
    </w:pPr>
    <w:rPr>
      <w:rFonts w:ascii="Liberation Sans" w:hAnsi="Liberation San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Liberation Sans" w:hAnsi="Liberation Sans"/>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Liberation Sans" w:hAnsi="Liberation Sans"/>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Liberation Sans" w:hAnsi="Liberation Sans"/>
      <w:b/>
      <w:bCs/>
      <w:color w:val="1F6D7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Liberation Sans" w:hAnsi="Liberation Sans"/>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Liberation Sans" w:hAnsi="Liberation Sans"/>
      <w:b/>
      <w:i/>
      <w:iCs/>
      <w:color w:val="5B657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
    <w:name w:val="Equation"/>
    <w:pPr>
      <w:spacing w:before="80" w:after="100"/>
      <w:ind w:left="504"/>
    </w:pPr>
    <w:rPr>
      <w:rFonts w:ascii="Liberation Mono" w:hAnsi="Liberation Mono"/>
      <w:color w:val="1C2430"/>
      <w:sz w:val="18"/>
    </w:rPr>
  </w:style>
  <w:style w:type="paragraph" w:customStyle="1" w:styleId="Small">
    <w:name w:val="Small"/>
    <w:pPr>
      <w:spacing w:after="40"/>
    </w:pPr>
    <w:rPr>
      <w:rFonts w:ascii="Liberation Sans" w:hAnsi="Liberation Sans"/>
      <w:color w:val="5B6573"/>
      <w:sz w:val="16"/>
    </w:rPr>
  </w:style>
  <w:style w:type="paragraph" w:customStyle="1" w:styleId="Callout">
    <w:name w:val="Callout"/>
    <w:pPr>
      <w:spacing w:before="120" w:after="120"/>
      <w:ind w:left="259" w:right="259"/>
    </w:pPr>
    <w:rPr>
      <w:rFonts w:ascii="Liberation Sans" w:hAnsi="Liberation Sans"/>
      <w:b/>
      <w:color w:val="17365D"/>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